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9EB5" w14:textId="77777777" w:rsidR="00E319D3" w:rsidRDefault="00E319D3">
      <w:pPr>
        <w:pStyle w:val="Title"/>
      </w:pPr>
    </w:p>
    <w:p w14:paraId="2FDB6FEE" w14:textId="77777777" w:rsidR="00E319D3" w:rsidRDefault="00E319D3">
      <w:pPr>
        <w:pStyle w:val="Title"/>
      </w:pPr>
    </w:p>
    <w:p w14:paraId="1061BFB3" w14:textId="649318B2" w:rsidR="004D6B86" w:rsidRDefault="00B77E62">
      <w:pPr>
        <w:pStyle w:val="Title"/>
      </w:pPr>
      <w:r>
        <w:t>The Future of Green Energy in New York State</w:t>
      </w:r>
    </w:p>
    <w:p w14:paraId="1103FF63" w14:textId="77777777" w:rsidR="004D6B86" w:rsidRDefault="007337A4">
      <w:pPr>
        <w:pStyle w:val="Title2"/>
      </w:pPr>
      <w:r>
        <w:t>Nick E. Gilewski</w:t>
      </w:r>
    </w:p>
    <w:p w14:paraId="616925C5" w14:textId="77777777" w:rsidR="007337A4" w:rsidRDefault="00C22B29">
      <w:pPr>
        <w:pStyle w:val="Title2"/>
      </w:pPr>
      <w:r>
        <w:t xml:space="preserve">Advanced Qualitative Methods </w:t>
      </w:r>
      <w:r w:rsidR="007337A4">
        <w:t xml:space="preserve">ADS </w:t>
      </w:r>
      <w:r>
        <w:t>83</w:t>
      </w:r>
      <w:r w:rsidR="007337A4">
        <w:t xml:space="preserve">0 </w:t>
      </w:r>
    </w:p>
    <w:p w14:paraId="19DAE83C" w14:textId="77777777" w:rsidR="007337A4" w:rsidRDefault="007337A4">
      <w:pPr>
        <w:pStyle w:val="Title2"/>
      </w:pPr>
      <w:r>
        <w:t xml:space="preserve">Dr. </w:t>
      </w:r>
      <w:r w:rsidR="00C22B29">
        <w:t>Hahn</w:t>
      </w:r>
    </w:p>
    <w:p w14:paraId="7E0C0E53" w14:textId="77777777" w:rsidR="004D6B86" w:rsidRDefault="007337A4">
      <w:pPr>
        <w:pStyle w:val="Title2"/>
      </w:pPr>
      <w:r>
        <w:t>Niagara University</w:t>
      </w:r>
    </w:p>
    <w:p w14:paraId="2F8E7FC3" w14:textId="569054D8" w:rsidR="00DE2102" w:rsidRDefault="00B77E62">
      <w:pPr>
        <w:pStyle w:val="Title2"/>
      </w:pPr>
      <w:r>
        <w:t>May 1</w:t>
      </w:r>
      <w:r w:rsidR="00DE2102">
        <w:t>, 2018</w:t>
      </w:r>
    </w:p>
    <w:p w14:paraId="08C82E31" w14:textId="77777777" w:rsidR="00C84AE4" w:rsidRDefault="00C84AE4">
      <w:pPr>
        <w:pStyle w:val="Title2"/>
      </w:pPr>
    </w:p>
    <w:p w14:paraId="02A0B2D2" w14:textId="77777777" w:rsidR="00C84AE4" w:rsidRDefault="00C84AE4">
      <w:pPr>
        <w:pStyle w:val="Title2"/>
      </w:pPr>
    </w:p>
    <w:p w14:paraId="69F8CB6C" w14:textId="77777777" w:rsidR="00C84AE4" w:rsidRDefault="00C84AE4">
      <w:pPr>
        <w:pStyle w:val="Title2"/>
      </w:pPr>
    </w:p>
    <w:p w14:paraId="08A0E3BA" w14:textId="77777777" w:rsidR="00C84AE4" w:rsidRDefault="00C84AE4">
      <w:pPr>
        <w:pStyle w:val="Title2"/>
      </w:pPr>
    </w:p>
    <w:p w14:paraId="1F4D19DC" w14:textId="77777777" w:rsidR="00C84AE4" w:rsidRDefault="00C84AE4">
      <w:pPr>
        <w:pStyle w:val="Title2"/>
      </w:pPr>
    </w:p>
    <w:p w14:paraId="6BE5C4BE" w14:textId="77777777" w:rsidR="00C84AE4" w:rsidRDefault="00C84AE4">
      <w:pPr>
        <w:pStyle w:val="Title2"/>
      </w:pPr>
    </w:p>
    <w:p w14:paraId="68B99339" w14:textId="77777777" w:rsidR="00C84AE4" w:rsidRDefault="00C84AE4">
      <w:pPr>
        <w:pStyle w:val="Title2"/>
      </w:pPr>
    </w:p>
    <w:p w14:paraId="3251E89F" w14:textId="77777777" w:rsidR="00C84AE4" w:rsidRDefault="00C84AE4">
      <w:pPr>
        <w:pStyle w:val="Title2"/>
      </w:pPr>
    </w:p>
    <w:p w14:paraId="0B55D95B" w14:textId="77777777" w:rsidR="00C84AE4" w:rsidRDefault="00C84AE4">
      <w:pPr>
        <w:pStyle w:val="Title2"/>
      </w:pPr>
    </w:p>
    <w:p w14:paraId="7780375F" w14:textId="77777777" w:rsidR="00C84AE4" w:rsidRDefault="00C84AE4">
      <w:pPr>
        <w:pStyle w:val="Title2"/>
      </w:pPr>
    </w:p>
    <w:p w14:paraId="0CD92403" w14:textId="77777777" w:rsidR="00CD1E6D" w:rsidRDefault="00CD1E6D"/>
    <w:p w14:paraId="672116FB" w14:textId="77777777" w:rsidR="00405DEE" w:rsidRDefault="00405DEE" w:rsidP="00405DEE">
      <w:pPr>
        <w:shd w:val="clear" w:color="auto" w:fill="FFFFFF"/>
      </w:pPr>
      <w:r>
        <w:lastRenderedPageBreak/>
        <w:t xml:space="preserve">The three ‘papers’ dissertation will render a clear image connecting policy and culture for New York State policy makers, power generators, businesses, and the </w:t>
      </w:r>
      <w:proofErr w:type="gramStart"/>
      <w:r>
        <w:t>general public</w:t>
      </w:r>
      <w:proofErr w:type="gramEnd"/>
      <w:r>
        <w:t xml:space="preserve"> in becoming a green energy state by the year 2030. Depending on the results of the dissertation it may help or hinder the public opinion on New York State’s position and progress on green energy.</w:t>
      </w:r>
    </w:p>
    <w:p w14:paraId="18DC0F54" w14:textId="0B3B78D7" w:rsidR="001C403C" w:rsidRDefault="00701DAC" w:rsidP="0008721E">
      <w:pPr>
        <w:shd w:val="clear" w:color="auto" w:fill="FFFFFF"/>
      </w:pPr>
      <w:r>
        <w:t>With an emphasis on green energy</w:t>
      </w:r>
      <w:r w:rsidR="008E516F">
        <w:t xml:space="preserve"> and a green state, New York projects that </w:t>
      </w:r>
      <w:r w:rsidR="006E2AF8">
        <w:t>50% of electricity generation must come from a renewable source</w:t>
      </w:r>
      <w:r w:rsidR="00873EC2">
        <w:t xml:space="preserve"> by the year 2030</w:t>
      </w:r>
      <w:r w:rsidR="006E2AF8">
        <w:t xml:space="preserve">.  </w:t>
      </w:r>
      <w:r w:rsidR="008E516F">
        <w:t xml:space="preserve">On April 25, 2018 New York State generated </w:t>
      </w:r>
      <w:r w:rsidR="00C07B1B">
        <w:t>3</w:t>
      </w:r>
      <w:r w:rsidR="00AF00FC">
        <w:t>,</w:t>
      </w:r>
      <w:r w:rsidR="00C07B1B">
        <w:t>77</w:t>
      </w:r>
      <w:r w:rsidR="00AF00FC">
        <w:t>5,682</w:t>
      </w:r>
      <w:r w:rsidR="008E516F">
        <w:t xml:space="preserve"> </w:t>
      </w:r>
      <w:r w:rsidR="00AF00FC">
        <w:t xml:space="preserve">Mega </w:t>
      </w:r>
      <w:r w:rsidR="008E516F">
        <w:t>Watts of power; therefore, in the year 2030</w:t>
      </w:r>
      <w:r w:rsidR="00AF00FC">
        <w:t xml:space="preserve"> 1,887,841 Mega Watts or 50%</w:t>
      </w:r>
      <w:r w:rsidR="008E516F">
        <w:t xml:space="preserve"> of power </w:t>
      </w:r>
      <w:r w:rsidR="00AF00FC">
        <w:t>must be</w:t>
      </w:r>
      <w:r w:rsidR="008E516F">
        <w:t xml:space="preserve"> generated by a renewable source.</w:t>
      </w:r>
      <w:r w:rsidR="00967B6D">
        <w:t xml:space="preserve">  </w:t>
      </w:r>
      <w:r w:rsidR="0094249F">
        <w:t>On April 25</w:t>
      </w:r>
      <w:r w:rsidR="0094249F" w:rsidRPr="0094249F">
        <w:rPr>
          <w:vertAlign w:val="superscript"/>
        </w:rPr>
        <w:t>th</w:t>
      </w:r>
      <w:r w:rsidR="001C403C">
        <w:t xml:space="preserve">, 2018 New York State produced 1,230,968 Mega Watts of renewable power, which is 32.6% of the total power generated.  </w:t>
      </w:r>
      <w:r w:rsidR="000E3319">
        <w:t>Is New York State on an achievable trajectory to meet the goals set by Governor Andrew Cuomo 2030?</w:t>
      </w:r>
      <w:r w:rsidR="001C403C">
        <w:tab/>
      </w:r>
    </w:p>
    <w:p w14:paraId="0387965E" w14:textId="41757327" w:rsidR="00701DAC" w:rsidRDefault="00967B6D" w:rsidP="0008721E">
      <w:pPr>
        <w:shd w:val="clear" w:color="auto" w:fill="FFFFFF"/>
      </w:pPr>
      <w:r>
        <w:t>Will the demand of power in 2030 grow compared to 2018, and if so by how much</w:t>
      </w:r>
      <w:r w:rsidR="00B94B63">
        <w:t>?</w:t>
      </w:r>
      <w:r>
        <w:t xml:space="preserve">  If the demand for electricity generation grows </w:t>
      </w:r>
      <w:r w:rsidR="00803DD2">
        <w:t xml:space="preserve">how </w:t>
      </w:r>
      <w:r>
        <w:t xml:space="preserve">will New York State </w:t>
      </w:r>
      <w:r w:rsidR="00803DD2">
        <w:t>remain focused on a</w:t>
      </w:r>
      <w:r>
        <w:t xml:space="preserve"> goal of 50% renewables</w:t>
      </w:r>
      <w:r w:rsidR="00803DD2">
        <w:t xml:space="preserve"> by 2030</w:t>
      </w:r>
      <w:r>
        <w:t xml:space="preserve">?  What are the </w:t>
      </w:r>
      <w:r w:rsidR="00B94B63">
        <w:t>priorities</w:t>
      </w:r>
      <w:r>
        <w:t xml:space="preserve"> of New York State when it comes to delivering power and is the environment a priority or consideration?</w:t>
      </w:r>
      <w:r w:rsidR="009818B9">
        <w:t xml:space="preserve"> According to the Environmental Protection Agency 28% of the total greenhouse gas emission came from generating electricity</w:t>
      </w:r>
      <w:sdt>
        <w:sdtPr>
          <w:id w:val="-593012000"/>
          <w:citation/>
        </w:sdtPr>
        <w:sdtContent>
          <w:r w:rsidR="009818B9">
            <w:fldChar w:fldCharType="begin"/>
          </w:r>
          <w:r w:rsidR="009818B9">
            <w:instrText xml:space="preserve"> CITATION EPA18 \l 1033 </w:instrText>
          </w:r>
          <w:r w:rsidR="009818B9">
            <w:fldChar w:fldCharType="separate"/>
          </w:r>
          <w:r w:rsidR="007763E8">
            <w:rPr>
              <w:noProof/>
            </w:rPr>
            <w:t xml:space="preserve"> (EPA, 2018)</w:t>
          </w:r>
          <w:r w:rsidR="009818B9">
            <w:fldChar w:fldCharType="end"/>
          </w:r>
        </w:sdtContent>
      </w:sdt>
      <w:r w:rsidR="009818B9">
        <w:t>.</w:t>
      </w:r>
      <w:r w:rsidR="00B51825">
        <w:t xml:space="preserve"> With more that a quarter of greenhouse gas emission</w:t>
      </w:r>
      <w:r w:rsidR="00951A16">
        <w:t>s</w:t>
      </w:r>
      <w:r w:rsidR="00B51825">
        <w:t xml:space="preserve"> coming from generating electricity</w:t>
      </w:r>
      <w:r w:rsidR="00C17951">
        <w:t>,</w:t>
      </w:r>
      <w:r w:rsidR="00B51825">
        <w:t xml:space="preserve"> New York </w:t>
      </w:r>
      <w:r w:rsidR="00C17951">
        <w:t>must</w:t>
      </w:r>
      <w:r w:rsidR="00140213">
        <w:t xml:space="preserve"> </w:t>
      </w:r>
      <w:r w:rsidR="00C17951">
        <w:t xml:space="preserve">steadfast on </w:t>
      </w:r>
      <w:r w:rsidR="00B51825">
        <w:t>achieving the goal</w:t>
      </w:r>
      <w:r w:rsidR="00C17951">
        <w:t xml:space="preserve">, which can be done through </w:t>
      </w:r>
      <w:r w:rsidR="00B51825">
        <w:t>leadership and policy.</w:t>
      </w:r>
    </w:p>
    <w:p w14:paraId="21D7C27C" w14:textId="2CBC1705" w:rsidR="00951A16" w:rsidRDefault="00951A16" w:rsidP="0008721E">
      <w:pPr>
        <w:shd w:val="clear" w:color="auto" w:fill="FFFFFF"/>
      </w:pPr>
      <w:r>
        <w:t>Leadership</w:t>
      </w:r>
      <w:r w:rsidR="00B91F16">
        <w:t xml:space="preserve">, </w:t>
      </w:r>
      <w:r>
        <w:t xml:space="preserve">policy </w:t>
      </w:r>
      <w:r w:rsidR="00B91F16">
        <w:t>and</w:t>
      </w:r>
      <w:r>
        <w:t xml:space="preserve"> government involvement may not be the only contributing factor in achieving the 2030 goal.  A cultural shift towards a </w:t>
      </w:r>
      <w:r w:rsidR="00B91F16">
        <w:t xml:space="preserve">greener energy conscientious society is essential </w:t>
      </w:r>
      <w:r w:rsidR="000725F8">
        <w:t>providing a synergistic effect towards</w:t>
      </w:r>
      <w:r w:rsidR="00031774">
        <w:t xml:space="preserve"> achieving</w:t>
      </w:r>
      <w:r w:rsidR="000725F8">
        <w:t xml:space="preserve"> New York States goals in 2030.</w:t>
      </w:r>
    </w:p>
    <w:p w14:paraId="6C13E4F9" w14:textId="77777777" w:rsidR="00702AE2" w:rsidRDefault="00702AE2" w:rsidP="0008721E">
      <w:pPr>
        <w:shd w:val="clear" w:color="auto" w:fill="FFFFFF"/>
      </w:pPr>
    </w:p>
    <w:p w14:paraId="612E828B" w14:textId="053325BC" w:rsidR="005F0E97" w:rsidRDefault="006B66C8" w:rsidP="0008721E">
      <w:pPr>
        <w:shd w:val="clear" w:color="auto" w:fill="FFFFFF"/>
      </w:pPr>
      <w:r>
        <w:t>The New York State Independent System Operator</w:t>
      </w:r>
      <w:r w:rsidR="003C4377">
        <w:t xml:space="preserve"> or NYISO</w:t>
      </w:r>
      <w:r>
        <w:t xml:space="preserve"> is an organization that is responsible for </w:t>
      </w:r>
      <w:r w:rsidR="003C4377">
        <w:t xml:space="preserve">managing the flow of electricity within New York State.   NYISO insures that exact amount of electricity is generated and distributed at exactly the right time by conducting competitive auctions.  The competitive auctions on bulk wholesale electricity occur every five minutes every day of the year resulting in the lowest </w:t>
      </w:r>
      <w:r>
        <w:t>cost power possible</w:t>
      </w:r>
      <w:r w:rsidR="002B6E9E">
        <w:t xml:space="preserve"> in New York State</w:t>
      </w:r>
      <w:r>
        <w:t xml:space="preserve">. </w:t>
      </w:r>
      <w:r w:rsidR="003319B0">
        <w:t xml:space="preserve"> The NYISO employees approximately 570 people and serves 19.3 million users </w:t>
      </w:r>
      <w:sdt>
        <w:sdtPr>
          <w:id w:val="-2093305569"/>
          <w:citation/>
        </w:sdtPr>
        <w:sdtContent>
          <w:r w:rsidR="003319B0">
            <w:fldChar w:fldCharType="begin"/>
          </w:r>
          <w:r w:rsidR="003319B0">
            <w:instrText xml:space="preserve"> CITATION NYI18 \l 1033 </w:instrText>
          </w:r>
          <w:r w:rsidR="003319B0">
            <w:fldChar w:fldCharType="separate"/>
          </w:r>
          <w:r w:rsidR="007763E8">
            <w:rPr>
              <w:noProof/>
            </w:rPr>
            <w:t>(NYISO, 2018)</w:t>
          </w:r>
          <w:r w:rsidR="003319B0">
            <w:fldChar w:fldCharType="end"/>
          </w:r>
        </w:sdtContent>
      </w:sdt>
      <w:r w:rsidR="003319B0">
        <w:t xml:space="preserve">. </w:t>
      </w:r>
    </w:p>
    <w:p w14:paraId="29B110CC" w14:textId="3E78EE89" w:rsidR="0008721E" w:rsidRDefault="003319B0" w:rsidP="0008721E">
      <w:pPr>
        <w:shd w:val="clear" w:color="auto" w:fill="FFFFFF"/>
      </w:pPr>
      <w:r>
        <w:t xml:space="preserve"> Currently there are a total of </w:t>
      </w:r>
      <w:r w:rsidR="00D3515E">
        <w:t xml:space="preserve">9 </w:t>
      </w:r>
      <w:r w:rsidR="005F0E97">
        <w:t>Independent Service Operators/Regional Transmission Organizations</w:t>
      </w:r>
      <w:r w:rsidR="00D3515E">
        <w:t xml:space="preserve"> in the United States and Canada</w:t>
      </w:r>
      <w:r w:rsidR="005F0E97">
        <w:t xml:space="preserve"> integrating the diverse mix of power resources onto the electric grid</w:t>
      </w:r>
      <w:r w:rsidR="00D3515E">
        <w:t>.</w:t>
      </w:r>
      <w:r w:rsidR="005F0E97">
        <w:t xml:space="preserve">  The purpose and goal of the ISOs and RTOs is to ensure access to affordable, reliable and sustainable power though efficient administration of independent and transparent wholesale energy markets.  ISO and RTO innovation supports the latest advancements in smart grid technologies, improving resiliency and reliability of the grid, making energy transmission more efficient, smarter and cost effective </w:t>
      </w:r>
      <w:sdt>
        <w:sdtPr>
          <w:id w:val="795868167"/>
          <w:citation/>
        </w:sdtPr>
        <w:sdtContent>
          <w:r w:rsidR="001210BA">
            <w:fldChar w:fldCharType="begin"/>
          </w:r>
          <w:r w:rsidR="001210BA">
            <w:instrText xml:space="preserve"> CITATION ISO18 \l 1033 </w:instrText>
          </w:r>
          <w:r w:rsidR="001210BA">
            <w:fldChar w:fldCharType="separate"/>
          </w:r>
          <w:r w:rsidR="007763E8">
            <w:rPr>
              <w:noProof/>
            </w:rPr>
            <w:t>(ISO/RTO COUNCIL, 2018)</w:t>
          </w:r>
          <w:r w:rsidR="001210BA">
            <w:fldChar w:fldCharType="end"/>
          </w:r>
        </w:sdtContent>
      </w:sdt>
      <w:r w:rsidR="005F0E97">
        <w:t>.</w:t>
      </w:r>
    </w:p>
    <w:p w14:paraId="077356DF" w14:textId="77777777" w:rsidR="0019296A" w:rsidRPr="0008721E" w:rsidRDefault="0019296A" w:rsidP="0008721E">
      <w:pPr>
        <w:shd w:val="clear" w:color="auto" w:fill="FFFFFF"/>
      </w:pPr>
    </w:p>
    <w:p w14:paraId="08DE2EEA" w14:textId="77777777" w:rsidR="0008721E" w:rsidRDefault="0008721E" w:rsidP="00360897">
      <w:pPr>
        <w:shd w:val="clear" w:color="auto" w:fill="FFFFFF"/>
        <w:jc w:val="center"/>
        <w:rPr>
          <w:sz w:val="32"/>
          <w:szCs w:val="32"/>
        </w:rPr>
      </w:pPr>
    </w:p>
    <w:p w14:paraId="4EBA8174" w14:textId="77777777" w:rsidR="0008721E" w:rsidRDefault="0008721E" w:rsidP="00360897">
      <w:pPr>
        <w:shd w:val="clear" w:color="auto" w:fill="FFFFFF"/>
        <w:jc w:val="center"/>
        <w:rPr>
          <w:sz w:val="32"/>
          <w:szCs w:val="32"/>
        </w:rPr>
      </w:pPr>
    </w:p>
    <w:p w14:paraId="64050CB1" w14:textId="77777777" w:rsidR="0008721E" w:rsidRDefault="0008721E" w:rsidP="00360897">
      <w:pPr>
        <w:shd w:val="clear" w:color="auto" w:fill="FFFFFF"/>
        <w:jc w:val="center"/>
        <w:rPr>
          <w:sz w:val="32"/>
          <w:szCs w:val="32"/>
        </w:rPr>
      </w:pPr>
    </w:p>
    <w:p w14:paraId="30C4BC11" w14:textId="77777777" w:rsidR="0008721E" w:rsidRDefault="0008721E" w:rsidP="00360897">
      <w:pPr>
        <w:shd w:val="clear" w:color="auto" w:fill="FFFFFF"/>
        <w:jc w:val="center"/>
        <w:rPr>
          <w:sz w:val="32"/>
          <w:szCs w:val="32"/>
        </w:rPr>
      </w:pPr>
    </w:p>
    <w:p w14:paraId="066FA2E2" w14:textId="77777777" w:rsidR="0008721E" w:rsidRDefault="0008721E" w:rsidP="00360897">
      <w:pPr>
        <w:shd w:val="clear" w:color="auto" w:fill="FFFFFF"/>
        <w:jc w:val="center"/>
        <w:rPr>
          <w:sz w:val="32"/>
          <w:szCs w:val="32"/>
        </w:rPr>
      </w:pPr>
    </w:p>
    <w:p w14:paraId="03C86F41" w14:textId="77777777" w:rsidR="0008721E" w:rsidRDefault="0008721E" w:rsidP="00360897">
      <w:pPr>
        <w:shd w:val="clear" w:color="auto" w:fill="FFFFFF"/>
        <w:jc w:val="center"/>
        <w:rPr>
          <w:sz w:val="32"/>
          <w:szCs w:val="32"/>
        </w:rPr>
      </w:pPr>
    </w:p>
    <w:p w14:paraId="01473B2B" w14:textId="77777777" w:rsidR="00AD0FE1" w:rsidRPr="00AD0FE1" w:rsidRDefault="00AD0FE1" w:rsidP="00360897">
      <w:pPr>
        <w:shd w:val="clear" w:color="auto" w:fill="FFFFFF"/>
        <w:jc w:val="center"/>
        <w:rPr>
          <w:sz w:val="32"/>
          <w:szCs w:val="32"/>
        </w:rPr>
      </w:pPr>
      <w:r>
        <w:rPr>
          <w:sz w:val="32"/>
          <w:szCs w:val="32"/>
        </w:rPr>
        <w:lastRenderedPageBreak/>
        <w:t>Literature Review</w:t>
      </w:r>
    </w:p>
    <w:p w14:paraId="167AC651" w14:textId="6DE43F59" w:rsidR="00335BB8" w:rsidRDefault="004C04F7" w:rsidP="00886F5C">
      <w:r>
        <w:t xml:space="preserve">In order to determine the future of </w:t>
      </w:r>
      <w:r w:rsidR="00E82FC5">
        <w:t>going green electrically with respect to policy and leadership, an examination of accredited scholars</w:t>
      </w:r>
      <w:r w:rsidR="009A711C">
        <w:t xml:space="preserve"> and</w:t>
      </w:r>
      <w:r w:rsidR="00E82FC5">
        <w:t xml:space="preserve"> researchers’ existing literature is essential. </w:t>
      </w:r>
      <w:r w:rsidR="009A711C">
        <w:t>Current trends, policies</w:t>
      </w:r>
      <w:r w:rsidR="000B2FB0">
        <w:t xml:space="preserve"> </w:t>
      </w:r>
      <w:r w:rsidR="009A711C">
        <w:t>and theories mostly support</w:t>
      </w:r>
      <w:r w:rsidR="00F3522D">
        <w:t xml:space="preserve"> and</w:t>
      </w:r>
      <w:r w:rsidR="00650C21">
        <w:t xml:space="preserve"> encourage</w:t>
      </w:r>
      <w:r w:rsidR="009A711C">
        <w:t xml:space="preserve"> going green</w:t>
      </w:r>
      <w:r w:rsidR="00F277A0">
        <w:t xml:space="preserve"> electrically</w:t>
      </w:r>
      <w:r w:rsidR="00F3522D">
        <w:t>.</w:t>
      </w:r>
      <w:r w:rsidR="00F277A0">
        <w:t xml:space="preserve">  </w:t>
      </w:r>
      <w:r w:rsidR="00650C21">
        <w:t>T</w:t>
      </w:r>
      <w:r w:rsidR="00F3522D">
        <w:t>he goal</w:t>
      </w:r>
      <w:r w:rsidR="00E119C5">
        <w:t>s</w:t>
      </w:r>
      <w:r w:rsidR="00F3522D">
        <w:t xml:space="preserve"> and</w:t>
      </w:r>
      <w:r w:rsidR="00650C21">
        <w:t xml:space="preserve"> objective</w:t>
      </w:r>
      <w:r w:rsidR="00E119C5">
        <w:t>s</w:t>
      </w:r>
      <w:r w:rsidR="00650C21">
        <w:t xml:space="preserve"> </w:t>
      </w:r>
      <w:r w:rsidR="00E119C5">
        <w:t>are</w:t>
      </w:r>
      <w:r w:rsidR="00650C21">
        <w:t xml:space="preserve"> to build</w:t>
      </w:r>
      <w:r w:rsidR="00F277A0">
        <w:t xml:space="preserve"> a clean, resilient, reliable and affordable energy system using digitization and innovation. </w:t>
      </w:r>
      <w:r w:rsidR="00222583">
        <w:t xml:space="preserve"> </w:t>
      </w:r>
      <w:r w:rsidR="004C0BDD">
        <w:t>The National Conference of State Legislatures reports that t</w:t>
      </w:r>
      <w:r w:rsidR="003602B7">
        <w:t>hirty-seven</w:t>
      </w:r>
      <w:r w:rsidR="00222583">
        <w:t xml:space="preserve"> states</w:t>
      </w:r>
      <w:r w:rsidR="003602B7">
        <w:t>, Washington, D.C. and four territories have</w:t>
      </w:r>
      <w:r w:rsidR="00222583">
        <w:t xml:space="preserve"> </w:t>
      </w:r>
      <w:r w:rsidR="003602B7">
        <w:t>adopted an RPS</w:t>
      </w:r>
      <w:r w:rsidR="00650C21">
        <w:t xml:space="preserve"> (Renewable Portfolio Standard) and</w:t>
      </w:r>
      <w:r w:rsidR="00452B12">
        <w:t xml:space="preserve"> or renewable energy goals</w:t>
      </w:r>
      <w:sdt>
        <w:sdtPr>
          <w:id w:val="331183622"/>
          <w:citation/>
        </w:sdtPr>
        <w:sdtEndPr/>
        <w:sdtContent>
          <w:r w:rsidR="00452B12">
            <w:fldChar w:fldCharType="begin"/>
          </w:r>
          <w:r w:rsidR="00452B12">
            <w:instrText xml:space="preserve"> CITATION Dur17 \l 1033 </w:instrText>
          </w:r>
          <w:r w:rsidR="00452B12">
            <w:fldChar w:fldCharType="separate"/>
          </w:r>
          <w:r w:rsidR="007763E8">
            <w:rPr>
              <w:noProof/>
            </w:rPr>
            <w:t xml:space="preserve"> (Durkay, 2017)</w:t>
          </w:r>
          <w:r w:rsidR="00452B12">
            <w:fldChar w:fldCharType="end"/>
          </w:r>
        </w:sdtContent>
      </w:sdt>
      <w:r w:rsidR="00222583">
        <w:t xml:space="preserve">.  </w:t>
      </w:r>
      <w:r w:rsidR="00136287" w:rsidRPr="00335BB8">
        <w:rPr>
          <w:color w:val="auto"/>
        </w:rPr>
        <w:t xml:space="preserve">See figure 1 for a graphical representation </w:t>
      </w:r>
      <w:r w:rsidR="008F7A16" w:rsidRPr="00335BB8">
        <w:rPr>
          <w:color w:val="auto"/>
        </w:rPr>
        <w:t xml:space="preserve">of the renewable portfolio standards or voluntary </w:t>
      </w:r>
      <w:r w:rsidR="008F7A16">
        <w:t xml:space="preserve">targets.  </w:t>
      </w:r>
    </w:p>
    <w:p w14:paraId="453E7505" w14:textId="2A9F8871" w:rsidR="00335BB8" w:rsidRDefault="00335BB8" w:rsidP="00335BB8">
      <w:pPr>
        <w:ind w:firstLine="0"/>
      </w:pPr>
      <w:r>
        <w:rPr>
          <w:noProof/>
          <w:lang w:eastAsia="en-US"/>
        </w:rPr>
        <w:drawing>
          <wp:inline distT="0" distB="0" distL="0" distR="0" wp14:anchorId="4542293F" wp14:editId="17742534">
            <wp:extent cx="5943600" cy="39147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14775"/>
                    </a:xfrm>
                    <a:prstGeom prst="rect">
                      <a:avLst/>
                    </a:prstGeom>
                    <a:ln w="12700">
                      <a:solidFill>
                        <a:schemeClr val="tx1"/>
                      </a:solidFill>
                    </a:ln>
                  </pic:spPr>
                </pic:pic>
              </a:graphicData>
            </a:graphic>
          </wp:inline>
        </w:drawing>
      </w:r>
    </w:p>
    <w:p w14:paraId="5CA223F5" w14:textId="72EB36E6" w:rsidR="00335BB8" w:rsidRDefault="00896DA2" w:rsidP="00896DA2">
      <w:pPr>
        <w:ind w:firstLine="0"/>
      </w:pPr>
      <w:r>
        <w:t>Figure 1 Renewable Portfolio Standards or Voluntary Targets</w:t>
      </w:r>
    </w:p>
    <w:p w14:paraId="2BC64B5C" w14:textId="19B19376" w:rsidR="00335BB8" w:rsidRDefault="007D3754" w:rsidP="00E37C87">
      <w:pPr>
        <w:ind w:firstLine="0"/>
      </w:pPr>
      <w:r>
        <w:t>Source:</w:t>
      </w:r>
      <w:r w:rsidR="00E40938">
        <w:t xml:space="preserve"> National Conference of State Legislatures</w:t>
      </w:r>
    </w:p>
    <w:p w14:paraId="07D8D614" w14:textId="03C75C2D" w:rsidR="00C24B90" w:rsidRDefault="005C393C" w:rsidP="00536FF1">
      <w:r>
        <w:lastRenderedPageBreak/>
        <w:t>A renewable portfolio standard</w:t>
      </w:r>
      <w:r w:rsidR="003A5273">
        <w:t xml:space="preserve"> or RPS </w:t>
      </w:r>
      <w:r>
        <w:t>is a regulation that requires the increased production of energy from renewable energy sources, such as wind, solar, biomass, geothermal and in some cases hydro</w:t>
      </w:r>
      <w:r w:rsidR="00BE7FAA">
        <w:t xml:space="preserve">.  In short, </w:t>
      </w:r>
      <w:r w:rsidR="00593D58">
        <w:t>the renewable portfolio standard mechanism hold</w:t>
      </w:r>
      <w:r w:rsidR="005111FF">
        <w:t>s</w:t>
      </w:r>
      <w:r w:rsidR="00593D58">
        <w:t xml:space="preserve"> electricity supply companies accountable </w:t>
      </w:r>
      <w:r w:rsidR="005111FF">
        <w:t xml:space="preserve">in order </w:t>
      </w:r>
      <w:r w:rsidR="00593D58">
        <w:t>to produce more renewable energy</w:t>
      </w:r>
      <w:r w:rsidR="004102FB">
        <w:t xml:space="preserve">.  Additionally, </w:t>
      </w:r>
      <w:r w:rsidR="004102FB">
        <w:rPr>
          <w:rFonts w:asciiTheme="majorHAnsi" w:hAnsiTheme="majorHAnsi" w:cstheme="majorHAnsi"/>
          <w:color w:val="auto"/>
          <w:shd w:val="clear" w:color="auto" w:fill="FFFFFF"/>
        </w:rPr>
        <w:t>the</w:t>
      </w:r>
      <w:r w:rsidR="004102FB" w:rsidRPr="004102FB">
        <w:rPr>
          <w:rFonts w:asciiTheme="majorHAnsi" w:hAnsiTheme="majorHAnsi" w:cstheme="majorHAnsi"/>
          <w:color w:val="auto"/>
          <w:shd w:val="clear" w:color="auto" w:fill="FFFFFF"/>
        </w:rPr>
        <w:t xml:space="preserve"> requirement can apply only to investor-owned utilities</w:t>
      </w:r>
      <w:r w:rsidR="003A5273">
        <w:rPr>
          <w:rFonts w:asciiTheme="majorHAnsi" w:hAnsiTheme="majorHAnsi" w:cstheme="majorHAnsi"/>
          <w:color w:val="auto"/>
          <w:shd w:val="clear" w:color="auto" w:fill="FFFFFF"/>
        </w:rPr>
        <w:t>,</w:t>
      </w:r>
      <w:r w:rsidR="004102FB" w:rsidRPr="004102FB">
        <w:rPr>
          <w:rFonts w:asciiTheme="majorHAnsi" w:hAnsiTheme="majorHAnsi" w:cstheme="majorHAnsi"/>
          <w:color w:val="auto"/>
          <w:shd w:val="clear" w:color="auto" w:fill="FFFFFF"/>
        </w:rPr>
        <w:t xml:space="preserve"> but many states also include municipalities and electric cooperatives (</w:t>
      </w:r>
      <w:proofErr w:type="spellStart"/>
      <w:r w:rsidR="004102FB" w:rsidRPr="004102FB">
        <w:rPr>
          <w:rFonts w:asciiTheme="majorHAnsi" w:hAnsiTheme="majorHAnsi" w:cstheme="majorHAnsi"/>
          <w:color w:val="auto"/>
          <w:shd w:val="clear" w:color="auto" w:fill="FFFFFF"/>
        </w:rPr>
        <w:t>Munis</w:t>
      </w:r>
      <w:proofErr w:type="spellEnd"/>
      <w:r w:rsidR="004102FB" w:rsidRPr="004102FB">
        <w:rPr>
          <w:rFonts w:asciiTheme="majorHAnsi" w:hAnsiTheme="majorHAnsi" w:cstheme="majorHAnsi"/>
          <w:color w:val="auto"/>
          <w:shd w:val="clear" w:color="auto" w:fill="FFFFFF"/>
        </w:rPr>
        <w:t xml:space="preserve"> and Co-ops), though their requirements are equivalent or lower.</w:t>
      </w:r>
      <w:r w:rsidR="003A5273">
        <w:rPr>
          <w:rFonts w:asciiTheme="majorHAnsi" w:hAnsiTheme="majorHAnsi" w:cstheme="majorHAnsi"/>
          <w:color w:val="auto"/>
          <w:shd w:val="clear" w:color="auto" w:fill="FFFFFF"/>
        </w:rPr>
        <w:t xml:space="preserve"> </w:t>
      </w:r>
      <w:sdt>
        <w:sdtPr>
          <w:id w:val="788778528"/>
          <w:citation/>
        </w:sdtPr>
        <w:sdtEndPr/>
        <w:sdtContent>
          <w:r w:rsidR="00BE7FAA" w:rsidRPr="00AA2CB3">
            <w:fldChar w:fldCharType="begin"/>
          </w:r>
          <w:r w:rsidR="00BE7FAA" w:rsidRPr="00AA2CB3">
            <w:instrText xml:space="preserve"> CITATION Dur17 \l 1033 </w:instrText>
          </w:r>
          <w:r w:rsidR="00BE7FAA" w:rsidRPr="00AA2CB3">
            <w:fldChar w:fldCharType="separate"/>
          </w:r>
          <w:r w:rsidR="007763E8">
            <w:rPr>
              <w:noProof/>
            </w:rPr>
            <w:t>(Durkay, 2017)</w:t>
          </w:r>
          <w:r w:rsidR="00BE7FAA" w:rsidRPr="00AA2CB3">
            <w:fldChar w:fldCharType="end"/>
          </w:r>
        </w:sdtContent>
      </w:sdt>
      <w:r w:rsidR="00BE7FAA" w:rsidRPr="00AA2CB3">
        <w:t>.</w:t>
      </w:r>
      <w:r w:rsidR="003A5273">
        <w:t xml:space="preserve">  In order for the thirty-seven states, Washington, D.C. and four territories to accomplish such aggressive clean energy goals financial support or government subsidies must be provided. For example, recently I purchased a Chevy Volt which cost about $35,000 new.  </w:t>
      </w:r>
      <w:r w:rsidR="00C24B90">
        <w:t>As part of Governor Cuomo’s clean energy goal to reduce greenhouse gas emissions 40% by 2030</w:t>
      </w:r>
      <w:r w:rsidR="00536FF1">
        <w:t xml:space="preserve"> I was </w:t>
      </w:r>
      <w:r w:rsidR="00C24B90">
        <w:t>New York State</w:t>
      </w:r>
      <w:r w:rsidR="003A5273">
        <w:t xml:space="preserve"> provided</w:t>
      </w:r>
      <w:r w:rsidR="00536FF1">
        <w:t xml:space="preserve"> a</w:t>
      </w:r>
      <w:r w:rsidR="0089454A">
        <w:t xml:space="preserve">nd </w:t>
      </w:r>
      <w:r w:rsidR="00536FF1">
        <w:t>Drive Clean Rebate of</w:t>
      </w:r>
      <w:r w:rsidR="003A5273">
        <w:t xml:space="preserve"> $1700</w:t>
      </w:r>
      <w:r w:rsidR="00536FF1">
        <w:t>. In addition to</w:t>
      </w:r>
      <w:r w:rsidR="0079637B">
        <w:t xml:space="preserve"> the $1700 from New York State the</w:t>
      </w:r>
      <w:r w:rsidR="00536FF1">
        <w:t xml:space="preserve"> federal Internal Revenue Service </w:t>
      </w:r>
      <w:r w:rsidR="0079637B">
        <w:t xml:space="preserve">provided me with a </w:t>
      </w:r>
      <w:r w:rsidR="003A5273">
        <w:t>tax credit of $</w:t>
      </w:r>
      <w:r w:rsidR="00536FF1">
        <w:t>7,50</w:t>
      </w:r>
      <w:r w:rsidR="003A5273">
        <w:t xml:space="preserve">0.  </w:t>
      </w:r>
      <w:r w:rsidR="00D81AD9">
        <w:t xml:space="preserve">My green vehicle purchase provides the reader with an </w:t>
      </w:r>
      <w:r w:rsidR="00536FF1">
        <w:t xml:space="preserve">example that there is a combined effort from the state and federal level in order to go green electrically; supporting </w:t>
      </w:r>
      <w:r w:rsidR="00D81AD9">
        <w:t>my findings</w:t>
      </w:r>
      <w:r w:rsidR="00536FF1">
        <w:t>, t</w:t>
      </w:r>
      <w:r w:rsidR="00C24B90">
        <w:t>he National Renewable Energy Laboratory explains that there are both Federal and State incentives for the usage and generation of renewable energy.</w:t>
      </w:r>
    </w:p>
    <w:p w14:paraId="4D8BDE8F" w14:textId="67A1C963" w:rsidR="00AA2CB3" w:rsidRPr="00C24B90" w:rsidRDefault="00F9417A" w:rsidP="00AA2CB3">
      <w:pPr>
        <w:pStyle w:val="NormalWeb"/>
        <w:ind w:firstLine="720"/>
        <w:textAlignment w:val="baseline"/>
        <w:rPr>
          <w:rFonts w:asciiTheme="majorHAnsi" w:eastAsia="Times New Roman" w:hAnsiTheme="majorHAnsi" w:cstheme="majorHAnsi"/>
          <w:color w:val="auto"/>
          <w:spacing w:val="2"/>
          <w:lang w:eastAsia="en-US"/>
        </w:rPr>
      </w:pPr>
      <w:r w:rsidRPr="00C24B90">
        <w:rPr>
          <w:rFonts w:asciiTheme="majorHAnsi" w:eastAsia="Times New Roman" w:hAnsiTheme="majorHAnsi" w:cstheme="majorHAnsi"/>
          <w:color w:val="auto"/>
          <w:spacing w:val="2"/>
          <w:lang w:eastAsia="en-US"/>
        </w:rPr>
        <w:t>Approximately</w:t>
      </w:r>
      <w:r w:rsidR="00AA2CB3" w:rsidRPr="00C24B90">
        <w:rPr>
          <w:rFonts w:asciiTheme="majorHAnsi" w:eastAsia="Times New Roman" w:hAnsiTheme="majorHAnsi" w:cstheme="majorHAnsi"/>
          <w:color w:val="auto"/>
          <w:spacing w:val="2"/>
          <w:lang w:eastAsia="en-US"/>
        </w:rPr>
        <w:t xml:space="preserve"> 80 percent of the government-wide Mission Innovation investment supports DOE research, development, and demonstration activities across the spectrum of clean energy technologies. FY 2017 DOE highlights include:</w:t>
      </w:r>
    </w:p>
    <w:p w14:paraId="020227B6" w14:textId="77777777" w:rsidR="00A40C46" w:rsidRPr="00AA2CB3" w:rsidRDefault="00A40C46" w:rsidP="00A40C46">
      <w:pPr>
        <w:numPr>
          <w:ilvl w:val="0"/>
          <w:numId w:val="30"/>
        </w:numPr>
        <w:textAlignment w:val="baseline"/>
        <w:rPr>
          <w:rFonts w:asciiTheme="majorHAnsi" w:eastAsia="Times New Roman" w:hAnsiTheme="majorHAnsi" w:cstheme="majorHAnsi"/>
          <w:color w:val="auto"/>
          <w:lang w:eastAsia="en-US"/>
        </w:rPr>
      </w:pPr>
      <w:r w:rsidRPr="00AA2CB3">
        <w:rPr>
          <w:rFonts w:asciiTheme="majorHAnsi" w:eastAsia="Times New Roman" w:hAnsiTheme="majorHAnsi" w:cstheme="majorHAnsi"/>
          <w:color w:val="auto"/>
          <w:lang w:eastAsia="en-US"/>
        </w:rPr>
        <w:t>Over $105 million for new innovation initiatives to accelerate the rate of invention and successful commercialization of sustainable transportation, renewable power, and energy efficiency technologies, including expanded innovation partnerships with the National Laboratories;</w:t>
      </w:r>
    </w:p>
    <w:p w14:paraId="2B03ADEE" w14:textId="77777777" w:rsidR="00A40C46" w:rsidRPr="00AA2CB3" w:rsidRDefault="00A40C46" w:rsidP="00A40C46">
      <w:pPr>
        <w:numPr>
          <w:ilvl w:val="0"/>
          <w:numId w:val="30"/>
        </w:numPr>
        <w:textAlignment w:val="baseline"/>
        <w:rPr>
          <w:rFonts w:asciiTheme="majorHAnsi" w:eastAsia="Times New Roman" w:hAnsiTheme="majorHAnsi" w:cstheme="majorHAnsi"/>
          <w:color w:val="auto"/>
          <w:lang w:eastAsia="en-US"/>
        </w:rPr>
      </w:pPr>
      <w:r w:rsidRPr="00AA2CB3">
        <w:rPr>
          <w:rFonts w:asciiTheme="majorHAnsi" w:eastAsia="Times New Roman" w:hAnsiTheme="majorHAnsi" w:cstheme="majorHAnsi"/>
          <w:color w:val="auto"/>
          <w:lang w:eastAsia="en-US"/>
        </w:rPr>
        <w:lastRenderedPageBreak/>
        <w:t>Over $110 million for new Regional Clean Energy Innovation Partnerships that will support clean energy R&amp;D solutions targeted to the unique characteristics of each region, and draw upon the strengths of each region's innovation ecosystem;</w:t>
      </w:r>
    </w:p>
    <w:p w14:paraId="3BBEA93F" w14:textId="77777777" w:rsidR="00A40C46" w:rsidRPr="00AA2CB3" w:rsidRDefault="00A40C46" w:rsidP="00A40C46">
      <w:pPr>
        <w:numPr>
          <w:ilvl w:val="0"/>
          <w:numId w:val="30"/>
        </w:numPr>
        <w:textAlignment w:val="baseline"/>
        <w:rPr>
          <w:rFonts w:asciiTheme="majorHAnsi" w:eastAsia="Times New Roman" w:hAnsiTheme="majorHAnsi" w:cstheme="majorHAnsi"/>
          <w:color w:val="auto"/>
          <w:lang w:eastAsia="en-US"/>
        </w:rPr>
      </w:pPr>
      <w:r w:rsidRPr="00AA2CB3">
        <w:rPr>
          <w:rFonts w:asciiTheme="majorHAnsi" w:eastAsia="Times New Roman" w:hAnsiTheme="majorHAnsi" w:cstheme="majorHAnsi"/>
          <w:color w:val="auto"/>
          <w:lang w:eastAsia="en-US"/>
        </w:rPr>
        <w:t>Over $261 million for advanced clean energy manufacturing R&amp;D projects and facilities, including two new National Network for Manufacturing Innovation Institutes;</w:t>
      </w:r>
    </w:p>
    <w:p w14:paraId="00318CBA" w14:textId="77777777" w:rsidR="00A40C46" w:rsidRPr="00AA2CB3" w:rsidRDefault="00A40C46" w:rsidP="00A40C46">
      <w:pPr>
        <w:numPr>
          <w:ilvl w:val="0"/>
          <w:numId w:val="30"/>
        </w:numPr>
        <w:textAlignment w:val="baseline"/>
        <w:rPr>
          <w:rFonts w:asciiTheme="majorHAnsi" w:eastAsia="Times New Roman" w:hAnsiTheme="majorHAnsi" w:cstheme="majorHAnsi"/>
          <w:color w:val="auto"/>
          <w:lang w:eastAsia="en-US"/>
        </w:rPr>
      </w:pPr>
      <w:r w:rsidRPr="00AA2CB3">
        <w:rPr>
          <w:rFonts w:asciiTheme="majorHAnsi" w:eastAsia="Times New Roman" w:hAnsiTheme="majorHAnsi" w:cstheme="majorHAnsi"/>
          <w:color w:val="auto"/>
          <w:lang w:eastAsia="en-US"/>
        </w:rPr>
        <w:t>Over $880 million in cutting-edge sustainable transportation technologies to increase the affordability and convenience of advanced vehicles and domestic renewable fuels;</w:t>
      </w:r>
    </w:p>
    <w:p w14:paraId="2BA4EAC5" w14:textId="77777777" w:rsidR="00A40C46" w:rsidRPr="00AA2CB3" w:rsidRDefault="00A40C46" w:rsidP="00A40C46">
      <w:pPr>
        <w:numPr>
          <w:ilvl w:val="0"/>
          <w:numId w:val="30"/>
        </w:numPr>
        <w:textAlignment w:val="baseline"/>
        <w:rPr>
          <w:rFonts w:asciiTheme="majorHAnsi" w:eastAsia="Times New Roman" w:hAnsiTheme="majorHAnsi" w:cstheme="majorHAnsi"/>
          <w:color w:val="auto"/>
          <w:lang w:eastAsia="en-US"/>
        </w:rPr>
      </w:pPr>
      <w:r w:rsidRPr="00AA2CB3">
        <w:rPr>
          <w:rFonts w:asciiTheme="majorHAnsi" w:eastAsia="Times New Roman" w:hAnsiTheme="majorHAnsi" w:cstheme="majorHAnsi"/>
          <w:color w:val="auto"/>
          <w:lang w:eastAsia="en-US"/>
        </w:rPr>
        <w:t xml:space="preserve">Over $500 million to increase the use and reduce the costs of clean renewable power from solar, wind, water, and geothermal energy, including $213 million to support the </w:t>
      </w:r>
      <w:proofErr w:type="spellStart"/>
      <w:r w:rsidRPr="00AA2CB3">
        <w:rPr>
          <w:rFonts w:asciiTheme="majorHAnsi" w:eastAsia="Times New Roman" w:hAnsiTheme="majorHAnsi" w:cstheme="majorHAnsi"/>
          <w:color w:val="auto"/>
          <w:lang w:eastAsia="en-US"/>
        </w:rPr>
        <w:t>SunShot</w:t>
      </w:r>
      <w:proofErr w:type="spellEnd"/>
      <w:r w:rsidRPr="00AA2CB3">
        <w:rPr>
          <w:rFonts w:asciiTheme="majorHAnsi" w:eastAsia="Times New Roman" w:hAnsiTheme="majorHAnsi" w:cstheme="majorHAnsi"/>
          <w:color w:val="auto"/>
          <w:lang w:eastAsia="en-US"/>
        </w:rPr>
        <w:t xml:space="preserve"> Initiative mission to make solar energy fully cost-competitive with traditional energy sources before the end of this decade;</w:t>
      </w:r>
    </w:p>
    <w:p w14:paraId="5D59F9AD" w14:textId="77777777" w:rsidR="00A40C46" w:rsidRPr="00AA2CB3" w:rsidRDefault="00A40C46" w:rsidP="00A40C46">
      <w:pPr>
        <w:numPr>
          <w:ilvl w:val="0"/>
          <w:numId w:val="30"/>
        </w:numPr>
        <w:textAlignment w:val="baseline"/>
        <w:rPr>
          <w:rFonts w:asciiTheme="majorHAnsi" w:eastAsia="Times New Roman" w:hAnsiTheme="majorHAnsi" w:cstheme="majorHAnsi"/>
          <w:color w:val="auto"/>
          <w:lang w:eastAsia="en-US"/>
        </w:rPr>
      </w:pPr>
      <w:r w:rsidRPr="00AA2CB3">
        <w:rPr>
          <w:rFonts w:asciiTheme="majorHAnsi" w:eastAsia="Times New Roman" w:hAnsiTheme="majorHAnsi" w:cstheme="majorHAnsi"/>
          <w:color w:val="auto"/>
          <w:lang w:eastAsia="en-US"/>
        </w:rPr>
        <w:t>Over $1.8 billion in basic clean energy research on energy production, conversion, storage, and use, as well on as advancing our understanding of the earth and its climate;</w:t>
      </w:r>
    </w:p>
    <w:p w14:paraId="3DC66ACF" w14:textId="77777777" w:rsidR="00A40C46" w:rsidRPr="00AA2CB3" w:rsidRDefault="00A40C46" w:rsidP="00A40C46">
      <w:pPr>
        <w:numPr>
          <w:ilvl w:val="0"/>
          <w:numId w:val="30"/>
        </w:numPr>
        <w:textAlignment w:val="baseline"/>
        <w:rPr>
          <w:rFonts w:asciiTheme="majorHAnsi" w:eastAsia="Times New Roman" w:hAnsiTheme="majorHAnsi" w:cstheme="majorHAnsi"/>
          <w:color w:val="auto"/>
          <w:lang w:eastAsia="en-US"/>
        </w:rPr>
      </w:pPr>
      <w:r w:rsidRPr="00AA2CB3">
        <w:rPr>
          <w:rFonts w:asciiTheme="majorHAnsi" w:eastAsia="Times New Roman" w:hAnsiTheme="majorHAnsi" w:cstheme="majorHAnsi"/>
          <w:color w:val="auto"/>
          <w:lang w:eastAsia="en-US"/>
        </w:rPr>
        <w:t>Over $804 million for programs and infrastructure that support the advancement of nuclear energy technologies, including R&amp;D in advanced nuclear reactor technologies, life extension for existing power plants, and advanced nuclear fuels;</w:t>
      </w:r>
    </w:p>
    <w:p w14:paraId="11DE3A64" w14:textId="77777777" w:rsidR="00A40C46" w:rsidRPr="00AA2CB3" w:rsidRDefault="00A40C46" w:rsidP="00A40C46">
      <w:pPr>
        <w:numPr>
          <w:ilvl w:val="0"/>
          <w:numId w:val="30"/>
        </w:numPr>
        <w:textAlignment w:val="baseline"/>
        <w:rPr>
          <w:rFonts w:asciiTheme="majorHAnsi" w:eastAsia="Times New Roman" w:hAnsiTheme="majorHAnsi" w:cstheme="majorHAnsi"/>
          <w:color w:val="auto"/>
          <w:lang w:eastAsia="en-US"/>
        </w:rPr>
      </w:pPr>
      <w:r w:rsidRPr="00AA2CB3">
        <w:rPr>
          <w:rFonts w:asciiTheme="majorHAnsi" w:eastAsia="Times New Roman" w:hAnsiTheme="majorHAnsi" w:cstheme="majorHAnsi"/>
          <w:color w:val="auto"/>
          <w:lang w:eastAsia="en-US"/>
        </w:rPr>
        <w:t>Over $177 million to support grid modernization, resiliency, and integration of clean energy into the grid; and</w:t>
      </w:r>
    </w:p>
    <w:p w14:paraId="3B6C1CB0" w14:textId="77777777" w:rsidR="00A40C46" w:rsidRPr="00C24B90" w:rsidRDefault="00A40C46" w:rsidP="00A40C46">
      <w:pPr>
        <w:numPr>
          <w:ilvl w:val="0"/>
          <w:numId w:val="30"/>
        </w:numPr>
        <w:textAlignment w:val="baseline"/>
        <w:rPr>
          <w:rFonts w:asciiTheme="majorHAnsi" w:eastAsia="Times New Roman" w:hAnsiTheme="majorHAnsi" w:cstheme="majorHAnsi"/>
          <w:color w:val="auto"/>
          <w:lang w:eastAsia="en-US"/>
        </w:rPr>
      </w:pPr>
      <w:r w:rsidRPr="00AA2CB3">
        <w:rPr>
          <w:rFonts w:asciiTheme="majorHAnsi" w:eastAsia="Times New Roman" w:hAnsiTheme="majorHAnsi" w:cstheme="majorHAnsi"/>
          <w:color w:val="auto"/>
          <w:lang w:eastAsia="en-US"/>
        </w:rPr>
        <w:t>Nearly $564 million in research focused predominantly on development and deployment of carbon capture and storage technologies as well as other approaches to improve the emissions performance of energy generated from fossil fuels.</w:t>
      </w:r>
    </w:p>
    <w:p w14:paraId="3D9562EE" w14:textId="3F65A871" w:rsidR="00A40C46" w:rsidRPr="00C24B90" w:rsidRDefault="00A40C46" w:rsidP="00A40C46">
      <w:pPr>
        <w:ind w:firstLine="0"/>
        <w:textAlignment w:val="baseline"/>
        <w:rPr>
          <w:rFonts w:asciiTheme="majorHAnsi" w:eastAsia="Times New Roman" w:hAnsiTheme="majorHAnsi" w:cstheme="majorHAnsi"/>
          <w:color w:val="auto"/>
          <w:lang w:eastAsia="en-US"/>
        </w:rPr>
      </w:pPr>
      <w:r w:rsidRPr="00C24B90">
        <w:rPr>
          <w:rFonts w:asciiTheme="majorHAnsi" w:eastAsia="Times New Roman" w:hAnsiTheme="majorHAnsi" w:cstheme="majorHAnsi"/>
          <w:color w:val="auto"/>
          <w:lang w:eastAsia="en-US"/>
        </w:rPr>
        <w:lastRenderedPageBreak/>
        <w:t xml:space="preserve">Source: </w:t>
      </w:r>
      <w:r w:rsidR="00CA0E8B">
        <w:rPr>
          <w:rFonts w:asciiTheme="majorHAnsi" w:eastAsia="Times New Roman" w:hAnsiTheme="majorHAnsi" w:cstheme="majorHAnsi"/>
          <w:color w:val="auto"/>
          <w:lang w:eastAsia="en-US"/>
        </w:rPr>
        <w:t>U.S. Department of Energy</w:t>
      </w:r>
    </w:p>
    <w:p w14:paraId="62EB5A62" w14:textId="578CF135" w:rsidR="00896DA2" w:rsidRDefault="00222583" w:rsidP="00886F5C">
      <w:r>
        <w:t xml:space="preserve">New York State has specific goals </w:t>
      </w:r>
      <w:r w:rsidR="00824353">
        <w:t xml:space="preserve">to reach by the year 2030.  New York </w:t>
      </w:r>
      <w:r w:rsidR="00650C21">
        <w:t>State</w:t>
      </w:r>
      <w:r>
        <w:t xml:space="preserve"> will reduce </w:t>
      </w:r>
      <w:r w:rsidR="00824353">
        <w:t>greenhouse</w:t>
      </w:r>
      <w:r>
        <w:t xml:space="preserve"> gasses by 40%</w:t>
      </w:r>
      <w:r w:rsidR="00824353">
        <w:t>, decrease energy consumption in buildings by 23% from 2012 levels, and 50% of the electricity generated must come from a renewable source</w:t>
      </w:r>
      <w:r w:rsidR="008F7A16">
        <w:t xml:space="preserve"> by the year 2030</w:t>
      </w:r>
      <w:sdt>
        <w:sdtPr>
          <w:id w:val="-516625450"/>
          <w:citation/>
        </w:sdtPr>
        <w:sdtEndPr/>
        <w:sdtContent>
          <w:r w:rsidR="00F042E9">
            <w:fldChar w:fldCharType="begin"/>
          </w:r>
          <w:r w:rsidR="00F042E9">
            <w:instrText xml:space="preserve"> CITATION New15 \l 1033 </w:instrText>
          </w:r>
          <w:r w:rsidR="00F042E9">
            <w:fldChar w:fldCharType="separate"/>
          </w:r>
          <w:r w:rsidR="007763E8">
            <w:rPr>
              <w:noProof/>
            </w:rPr>
            <w:t xml:space="preserve"> (New York State Energy Plan, 2015)</w:t>
          </w:r>
          <w:r w:rsidR="00F042E9">
            <w:fldChar w:fldCharType="end"/>
          </w:r>
        </w:sdtContent>
      </w:sdt>
      <w:r w:rsidR="00824353">
        <w:t xml:space="preserve">.  </w:t>
      </w:r>
      <w:r w:rsidR="008F7A16">
        <w:t>Figure 2 shows the relationship between all fuels and renewables in the state of New York.  Renewable energy</w:t>
      </w:r>
      <w:r w:rsidR="00BE7FAA">
        <w:t xml:space="preserve"> currently</w:t>
      </w:r>
      <w:r w:rsidR="008F7A16">
        <w:t xml:space="preserve"> accounts for approximately 32.3% of the total energy generated to </w:t>
      </w:r>
      <w:r w:rsidR="00BE7FAA">
        <w:t>support the New York State grid, which was recorded on</w:t>
      </w:r>
      <w:r w:rsidR="008F7A16">
        <w:t xml:space="preserve"> March 1, 2018.  </w:t>
      </w:r>
      <w:r w:rsidR="00BF3923">
        <w:t>With that being said</w:t>
      </w:r>
      <w:r w:rsidR="005E3D0F">
        <w:t>,</w:t>
      </w:r>
      <w:r w:rsidR="00BF3923">
        <w:t xml:space="preserve"> New York State has a little less than 12 years to increase their renewable generation by </w:t>
      </w:r>
      <w:r w:rsidR="005E3D0F">
        <w:t xml:space="preserve">17.8%, </w:t>
      </w:r>
      <w:r w:rsidR="00896DA2">
        <w:t xml:space="preserve">which is </w:t>
      </w:r>
      <w:r w:rsidR="004102FB">
        <w:t>an obtainable goal</w:t>
      </w:r>
      <w:r w:rsidR="00896DA2">
        <w:t xml:space="preserve"> by</w:t>
      </w:r>
      <w:r w:rsidR="00F6593E">
        <w:t xml:space="preserve"> 2030</w:t>
      </w:r>
      <w:r w:rsidR="005E3D0F">
        <w:t xml:space="preserve">.  </w:t>
      </w:r>
    </w:p>
    <w:p w14:paraId="30E59C25" w14:textId="65DAC26F" w:rsidR="00896DA2" w:rsidRDefault="00896DA2" w:rsidP="00896DA2">
      <w:pPr>
        <w:ind w:firstLine="0"/>
      </w:pPr>
      <w:r>
        <w:rPr>
          <w:noProof/>
          <w:lang w:eastAsia="en-US"/>
        </w:rPr>
        <w:drawing>
          <wp:inline distT="0" distB="0" distL="0" distR="0" wp14:anchorId="1461FC76" wp14:editId="00DDD1F8">
            <wp:extent cx="4298569" cy="3302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2417" cy="3335682"/>
                    </a:xfrm>
                    <a:prstGeom prst="rect">
                      <a:avLst/>
                    </a:prstGeom>
                  </pic:spPr>
                </pic:pic>
              </a:graphicData>
            </a:graphic>
          </wp:inline>
        </w:drawing>
      </w:r>
    </w:p>
    <w:p w14:paraId="13FB3BB6" w14:textId="5ADF78FD" w:rsidR="00896DA2" w:rsidRDefault="00896DA2" w:rsidP="00896DA2">
      <w:pPr>
        <w:autoSpaceDE w:val="0"/>
        <w:autoSpaceDN w:val="0"/>
        <w:adjustRightInd w:val="0"/>
        <w:ind w:firstLine="0"/>
      </w:pPr>
      <w:r>
        <w:t>Figure 2 – Real-Time Fuel Mix as of 03/02/2018</w:t>
      </w:r>
    </w:p>
    <w:p w14:paraId="4A317407" w14:textId="246F5DB1" w:rsidR="00A87121" w:rsidRPr="00D83284" w:rsidRDefault="00A87121" w:rsidP="00896DA2">
      <w:pPr>
        <w:autoSpaceDE w:val="0"/>
        <w:autoSpaceDN w:val="0"/>
        <w:adjustRightInd w:val="0"/>
        <w:ind w:firstLine="0"/>
      </w:pPr>
      <w:r>
        <w:t>Source: New York State Independent S</w:t>
      </w:r>
      <w:r w:rsidR="000368CB">
        <w:t>ystem</w:t>
      </w:r>
      <w:r>
        <w:t xml:space="preserve"> Operato</w:t>
      </w:r>
      <w:r w:rsidR="000368CB">
        <w:t>r</w:t>
      </w:r>
    </w:p>
    <w:p w14:paraId="4BFB6BD7" w14:textId="18E64DE5" w:rsidR="00F6593E" w:rsidRDefault="004C0BDD" w:rsidP="00886F5C">
      <w:r>
        <w:t xml:space="preserve">Comparatively, California’s renewable portfolio requirement is:  33% by the year 2020, 40% by 2027 and lastly, 50% of the power generated by the year 2030 will come from renewable energy.  </w:t>
      </w:r>
      <w:r w:rsidR="00F6593E">
        <w:t xml:space="preserve">Figure 3 shows the relationship between all fuels and renewables in the state of </w:t>
      </w:r>
      <w:r w:rsidR="00F6593E">
        <w:lastRenderedPageBreak/>
        <w:t>California.  Renewable energy accounts for approximately 15% of the total energy generated to support the Southern part of California’s grid on March 1, 2018.  California has a little less than 12 years to increase their renewable generation by 35%, which seems unlikely</w:t>
      </w:r>
      <w:r w:rsidR="00234C95">
        <w:t xml:space="preserve"> as demand continues to increase as well</w:t>
      </w:r>
      <w:r w:rsidR="00F6593E">
        <w:t>.</w:t>
      </w:r>
      <w:r w:rsidR="00234C95">
        <w:t xml:space="preserve">  </w:t>
      </w:r>
    </w:p>
    <w:p w14:paraId="00EA8DFA" w14:textId="4C22DDAE" w:rsidR="00A850DD" w:rsidRDefault="00A850DD" w:rsidP="00A850DD">
      <w:pPr>
        <w:pStyle w:val="BodyText"/>
        <w:rPr>
          <w:b/>
        </w:rPr>
      </w:pPr>
      <w:r>
        <w:rPr>
          <w:b/>
          <w:noProof/>
          <w:lang w:eastAsia="en-US"/>
        </w:rPr>
        <w:drawing>
          <wp:inline distT="0" distB="0" distL="0" distR="0" wp14:anchorId="35C6B18C" wp14:editId="28D2B6D6">
            <wp:extent cx="5028203" cy="3484033"/>
            <wp:effectExtent l="25400" t="25400" r="2667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ifornia energy.PNG"/>
                    <pic:cNvPicPr/>
                  </pic:nvPicPr>
                  <pic:blipFill>
                    <a:blip r:embed="rId11"/>
                    <a:stretch>
                      <a:fillRect/>
                    </a:stretch>
                  </pic:blipFill>
                  <pic:spPr>
                    <a:xfrm>
                      <a:off x="0" y="0"/>
                      <a:ext cx="5029113" cy="3484663"/>
                    </a:xfrm>
                    <a:prstGeom prst="rect">
                      <a:avLst/>
                    </a:prstGeom>
                    <a:ln>
                      <a:solidFill>
                        <a:schemeClr val="tx1"/>
                      </a:solidFill>
                    </a:ln>
                  </pic:spPr>
                </pic:pic>
              </a:graphicData>
            </a:graphic>
          </wp:inline>
        </w:drawing>
      </w:r>
    </w:p>
    <w:p w14:paraId="5290AE03" w14:textId="2ED72EA0" w:rsidR="00A850DD" w:rsidRDefault="00A850DD" w:rsidP="00A850DD">
      <w:pPr>
        <w:pStyle w:val="BodyText"/>
      </w:pPr>
      <w:r w:rsidRPr="00A850DD">
        <w:t xml:space="preserve">Figure 3 </w:t>
      </w:r>
      <w:r w:rsidR="00C11A14">
        <w:t>–</w:t>
      </w:r>
      <w:r w:rsidRPr="00A850DD">
        <w:t xml:space="preserve"> </w:t>
      </w:r>
      <w:r w:rsidR="004D4E9C">
        <w:t>Souther</w:t>
      </w:r>
      <w:r w:rsidR="00C11A14">
        <w:t xml:space="preserve">n California Supply and Renewables </w:t>
      </w:r>
    </w:p>
    <w:p w14:paraId="10248C11" w14:textId="312ECE00" w:rsidR="000368CB" w:rsidRPr="00A850DD" w:rsidRDefault="000368CB" w:rsidP="00A850DD">
      <w:pPr>
        <w:pStyle w:val="BodyText"/>
      </w:pPr>
      <w:r>
        <w:t>Source: The State of California Independent System Operator</w:t>
      </w:r>
    </w:p>
    <w:p w14:paraId="262FE189" w14:textId="173A73B8" w:rsidR="007C3AEE" w:rsidRDefault="009F133A" w:rsidP="00896DA2">
      <w:r>
        <w:t xml:space="preserve">Keep in mind as these states move forward in time towards </w:t>
      </w:r>
      <w:r w:rsidR="00E45D60">
        <w:t>their</w:t>
      </w:r>
      <w:r>
        <w:t xml:space="preserve"> </w:t>
      </w:r>
      <w:r w:rsidR="00FB660E">
        <w:t xml:space="preserve">year 2030 </w:t>
      </w:r>
      <w:r>
        <w:t>goal, the demand or increase in electricity production is continually increasing</w:t>
      </w:r>
      <w:r w:rsidR="00D57EE3">
        <w:t xml:space="preserve"> with population growth</w:t>
      </w:r>
      <w:r>
        <w:t>.</w:t>
      </w:r>
      <w:r w:rsidR="00D57EE3">
        <w:t xml:space="preserve">  </w:t>
      </w:r>
      <w:r w:rsidR="00FB660E">
        <w:t xml:space="preserve">Figure </w:t>
      </w:r>
      <w:r w:rsidR="00AE5611">
        <w:t>4</w:t>
      </w:r>
      <w:r w:rsidR="00FB660E">
        <w:t xml:space="preserve"> shows the growth in electricity end us</w:t>
      </w:r>
      <w:r w:rsidR="00CD1EA4">
        <w:t>age</w:t>
      </w:r>
      <w:r w:rsidR="00FB660E">
        <w:t xml:space="preserve"> in the United States from 1973 to 201</w:t>
      </w:r>
      <w:r w:rsidR="00CD1EA4">
        <w:t xml:space="preserve">7. In January of 2015 the United States utilized 326,311 million kilowatt-hours, which is 2.26 times more that was used in January of 1973 at 144,505 million kilowatt-hours of power. </w:t>
      </w:r>
    </w:p>
    <w:p w14:paraId="70649D16" w14:textId="2E5EC605" w:rsidR="00DB6564" w:rsidRDefault="00DB6564" w:rsidP="00DB6564">
      <w:r>
        <w:lastRenderedPageBreak/>
        <w:t>Comparatively</w:t>
      </w:r>
      <w:r w:rsidR="007C3AEE">
        <w:t xml:space="preserve">, as mentioned over time the population increases; </w:t>
      </w:r>
      <w:r>
        <w:t>therefore</w:t>
      </w:r>
      <w:r w:rsidR="007C3AEE">
        <w:t xml:space="preserve">, there is direct correlation to the amount of people and electricity needed for the growing population.  Figure </w:t>
      </w:r>
      <w:r w:rsidR="00AE5611">
        <w:t>5</w:t>
      </w:r>
      <w:r w:rsidR="007C3AEE">
        <w:t xml:space="preserve"> shows a continued growth in population from 1920 to 2017</w:t>
      </w:r>
      <w:r>
        <w:t>.  However, it’s not that cut and dry as t</w:t>
      </w:r>
      <w:r w:rsidR="00CD1EA4">
        <w:t xml:space="preserve">here are several factors </w:t>
      </w:r>
      <w:r w:rsidR="008E11E9">
        <w:t xml:space="preserve">or variables </w:t>
      </w:r>
      <w:r w:rsidR="00CD1EA4">
        <w:t>that determine overall electricity usage in the United States.  For example, the U.S. economy and manufacturing; the more manufacturing facilities</w:t>
      </w:r>
      <w:r w:rsidR="008E11E9">
        <w:t xml:space="preserve"> operating the in the U.S.</w:t>
      </w:r>
      <w:r w:rsidR="00CD1EA4">
        <w:t xml:space="preserve"> the more power consumed or demanded</w:t>
      </w:r>
      <w:r w:rsidR="008E11E9">
        <w:t xml:space="preserve"> from the grid</w:t>
      </w:r>
      <w:r w:rsidR="00CD1EA4">
        <w:t>.  Another example would be incl</w:t>
      </w:r>
      <w:r w:rsidR="008E11E9">
        <w:t>e</w:t>
      </w:r>
      <w:r w:rsidR="00CD1EA4">
        <w:t>m</w:t>
      </w:r>
      <w:r w:rsidR="008E11E9">
        <w:t>ent</w:t>
      </w:r>
      <w:r w:rsidR="00CD1EA4">
        <w:t xml:space="preserve"> weather</w:t>
      </w:r>
      <w:r w:rsidR="008E11E9">
        <w:t xml:space="preserve">; extreme hot or cold demands heating or cooling, which </w:t>
      </w:r>
      <w:r w:rsidR="007E5D46">
        <w:t>create record breaking demand.  During the dead of summer when the majority of the U.S. is above 80 degrees thermal constraints and line loss become a major consideration</w:t>
      </w:r>
      <w:r>
        <w:t>.</w:t>
      </w:r>
      <w:r w:rsidR="007E5D46">
        <w:t xml:space="preserve">  </w:t>
      </w:r>
      <w:r>
        <w:t>There are</w:t>
      </w:r>
      <w:r w:rsidR="007E5D46">
        <w:t xml:space="preserve"> several variables to consider when looking at overall electricity consumption, but </w:t>
      </w:r>
      <w:r>
        <w:t xml:space="preserve">a correlation can be made from </w:t>
      </w:r>
      <w:r w:rsidR="007E5D46">
        <w:t xml:space="preserve">figure </w:t>
      </w:r>
      <w:r w:rsidR="00D81AD9">
        <w:t>4</w:t>
      </w:r>
      <w:r>
        <w:t xml:space="preserve"> and figure </w:t>
      </w:r>
      <w:r w:rsidR="00D81AD9">
        <w:t>5</w:t>
      </w:r>
      <w:r w:rsidR="007E5D46">
        <w:t xml:space="preserve">, </w:t>
      </w:r>
      <w:r>
        <w:t>which</w:t>
      </w:r>
      <w:r w:rsidR="007E5D46">
        <w:t xml:space="preserve"> is </w:t>
      </w:r>
      <w:r>
        <w:t>that as the population c</w:t>
      </w:r>
      <w:r w:rsidR="007E5D46">
        <w:t>ontinuous</w:t>
      </w:r>
      <w:r>
        <w:t xml:space="preserve"> to</w:t>
      </w:r>
      <w:r w:rsidR="007E5D46">
        <w:t xml:space="preserve"> growth </w:t>
      </w:r>
      <w:r>
        <w:t xml:space="preserve">so will the </w:t>
      </w:r>
      <w:r w:rsidR="007E5D46">
        <w:t xml:space="preserve">electricity </w:t>
      </w:r>
      <w:r w:rsidR="004E65BD">
        <w:t>demand and consumption.</w:t>
      </w:r>
      <w:r w:rsidR="007E5D46">
        <w:t xml:space="preserve"> </w:t>
      </w:r>
      <w:r w:rsidR="004E65BD">
        <w:t xml:space="preserve">  </w:t>
      </w:r>
    </w:p>
    <w:p w14:paraId="6F646E41" w14:textId="005661A0" w:rsidR="00353DBF" w:rsidRDefault="00353DBF" w:rsidP="00353DBF">
      <w:pPr>
        <w:ind w:firstLine="0"/>
      </w:pPr>
      <w:r>
        <w:rPr>
          <w:noProof/>
          <w:lang w:eastAsia="en-US"/>
        </w:rPr>
        <w:drawing>
          <wp:inline distT="0" distB="0" distL="0" distR="0" wp14:anchorId="0CEBDD44" wp14:editId="1F023240">
            <wp:extent cx="5880662" cy="2650067"/>
            <wp:effectExtent l="25400" t="25400" r="381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icity usage 1973 - 2015.PNG"/>
                    <pic:cNvPicPr/>
                  </pic:nvPicPr>
                  <pic:blipFill>
                    <a:blip r:embed="rId12"/>
                    <a:stretch>
                      <a:fillRect/>
                    </a:stretch>
                  </pic:blipFill>
                  <pic:spPr>
                    <a:xfrm>
                      <a:off x="0" y="0"/>
                      <a:ext cx="5925594" cy="2670315"/>
                    </a:xfrm>
                    <a:prstGeom prst="rect">
                      <a:avLst/>
                    </a:prstGeom>
                    <a:ln w="9525">
                      <a:solidFill>
                        <a:schemeClr val="tx1"/>
                      </a:solidFill>
                    </a:ln>
                  </pic:spPr>
                </pic:pic>
              </a:graphicData>
            </a:graphic>
          </wp:inline>
        </w:drawing>
      </w:r>
    </w:p>
    <w:p w14:paraId="031AE56C" w14:textId="3B729DD2" w:rsidR="00AE5611" w:rsidRDefault="00AE5611" w:rsidP="00AE5611">
      <w:pPr>
        <w:pStyle w:val="BodyText"/>
      </w:pPr>
      <w:r w:rsidRPr="00A850DD">
        <w:t xml:space="preserve">Figure </w:t>
      </w:r>
      <w:r>
        <w:t>4</w:t>
      </w:r>
      <w:r w:rsidRPr="00A850DD">
        <w:t xml:space="preserve"> </w:t>
      </w:r>
      <w:r>
        <w:t>–</w:t>
      </w:r>
      <w:r w:rsidRPr="00A850DD">
        <w:t xml:space="preserve"> </w:t>
      </w:r>
      <w:r>
        <w:t>Electricity End Usage</w:t>
      </w:r>
    </w:p>
    <w:p w14:paraId="71220D90" w14:textId="6BA5601A" w:rsidR="00AE5611" w:rsidRDefault="00AE5611" w:rsidP="00AE5611">
      <w:pPr>
        <w:pStyle w:val="BodyText"/>
      </w:pPr>
      <w:r>
        <w:t>Source: U.S. Energy Information Administration</w:t>
      </w:r>
    </w:p>
    <w:p w14:paraId="4264B324" w14:textId="05492981" w:rsidR="00065FA4" w:rsidRDefault="00065FA4" w:rsidP="00AE5611">
      <w:pPr>
        <w:pStyle w:val="BodyText"/>
      </w:pPr>
      <w:r>
        <w:rPr>
          <w:noProof/>
          <w:lang w:eastAsia="en-US"/>
        </w:rPr>
        <w:lastRenderedPageBreak/>
        <w:drawing>
          <wp:inline distT="0" distB="0" distL="0" distR="0" wp14:anchorId="5DBF65C2" wp14:editId="07EA7B75">
            <wp:extent cx="6027991"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 population growth chart.PNG"/>
                    <pic:cNvPicPr/>
                  </pic:nvPicPr>
                  <pic:blipFill>
                    <a:blip r:embed="rId13"/>
                    <a:stretch>
                      <a:fillRect/>
                    </a:stretch>
                  </pic:blipFill>
                  <pic:spPr>
                    <a:xfrm>
                      <a:off x="0" y="0"/>
                      <a:ext cx="6041065" cy="2863698"/>
                    </a:xfrm>
                    <a:prstGeom prst="rect">
                      <a:avLst/>
                    </a:prstGeom>
                  </pic:spPr>
                </pic:pic>
              </a:graphicData>
            </a:graphic>
          </wp:inline>
        </w:drawing>
      </w:r>
    </w:p>
    <w:p w14:paraId="62C9F115" w14:textId="42BF676E" w:rsidR="00065FA4" w:rsidRDefault="00065FA4" w:rsidP="00AE5611">
      <w:pPr>
        <w:pStyle w:val="BodyText"/>
      </w:pPr>
      <w:r>
        <w:t xml:space="preserve">Figure 5 – United States Population </w:t>
      </w:r>
    </w:p>
    <w:p w14:paraId="43EFCE36" w14:textId="24450335" w:rsidR="00065FA4" w:rsidRDefault="00065FA4" w:rsidP="00AE5611">
      <w:pPr>
        <w:pStyle w:val="BodyText"/>
      </w:pPr>
      <w:r>
        <w:t>Source:  U.S. Census Bureau</w:t>
      </w:r>
    </w:p>
    <w:p w14:paraId="171643ED" w14:textId="40D8954C" w:rsidR="00AE5611" w:rsidRDefault="005E3533" w:rsidP="00AE5611">
      <w:r>
        <w:t xml:space="preserve">There are still </w:t>
      </w:r>
      <w:r w:rsidR="00C8645C">
        <w:t>unanswered question</w:t>
      </w:r>
      <w:r>
        <w:t>s,</w:t>
      </w:r>
      <w:r w:rsidR="00C8645C">
        <w:t xml:space="preserve"> which</w:t>
      </w:r>
      <w:r>
        <w:t xml:space="preserve"> are “at what rate is the grid going to grow and should we as a society restrict our generation or restrict our consumption?”  Either way g</w:t>
      </w:r>
      <w:r w:rsidR="00AE5611">
        <w:t xml:space="preserve">oing green electrically </w:t>
      </w:r>
      <w:r>
        <w:t>and</w:t>
      </w:r>
      <w:r w:rsidR="00AE5611">
        <w:t xml:space="preserve"> green renewable energy </w:t>
      </w:r>
      <w:r>
        <w:t xml:space="preserve">is imperative to </w:t>
      </w:r>
      <w:r w:rsidR="00AE5611">
        <w:t xml:space="preserve">curtail </w:t>
      </w:r>
      <w:r w:rsidR="00E16A78">
        <w:t xml:space="preserve">and or support </w:t>
      </w:r>
      <w:r w:rsidR="00AE5611">
        <w:t xml:space="preserve">continued growth </w:t>
      </w:r>
      <w:r w:rsidR="00E16A78">
        <w:t>electrically</w:t>
      </w:r>
      <w:r>
        <w:t xml:space="preserve"> in order to</w:t>
      </w:r>
      <w:r w:rsidR="00E16A78">
        <w:t xml:space="preserve"> </w:t>
      </w:r>
      <w:r>
        <w:t>provide</w:t>
      </w:r>
      <w:r w:rsidR="00AE5611">
        <w:t xml:space="preserve"> a clean, resilient, reliable and affordable energy system. </w:t>
      </w:r>
      <w:r w:rsidR="00F65750">
        <w:t xml:space="preserve"> Lastly, there needs to be a collective effort between both the state and federal entities in order to achieve such monumental goals and objectives.</w:t>
      </w:r>
    </w:p>
    <w:p w14:paraId="26F8B378" w14:textId="2E09D8B0" w:rsidR="00D81AD9" w:rsidRDefault="00D81AD9" w:rsidP="00AE5611"/>
    <w:p w14:paraId="4ACAA676" w14:textId="5B60E47E" w:rsidR="00D81AD9" w:rsidRDefault="00D81AD9" w:rsidP="00AE5611"/>
    <w:p w14:paraId="2F2A97A2" w14:textId="1007DDDF" w:rsidR="00D81AD9" w:rsidRDefault="00D81AD9" w:rsidP="00AE5611"/>
    <w:p w14:paraId="18D77A72" w14:textId="1D81375D" w:rsidR="00D81AD9" w:rsidRDefault="00D81AD9" w:rsidP="00AE5611"/>
    <w:p w14:paraId="0135BD5C" w14:textId="05AE2C58" w:rsidR="00D81AD9" w:rsidRDefault="00D81AD9" w:rsidP="00AE5611"/>
    <w:p w14:paraId="25CC86C2" w14:textId="33AA7359" w:rsidR="0067346B" w:rsidRPr="0019296A" w:rsidRDefault="0067346B" w:rsidP="0067346B">
      <w:pPr>
        <w:rPr>
          <w:rFonts w:ascii="Times New Roman" w:eastAsia="Times New Roman" w:hAnsi="Times New Roman" w:cs="Times New Roman"/>
          <w:color w:val="auto"/>
          <w:lang w:eastAsia="en-US"/>
        </w:rPr>
      </w:pPr>
      <w:r>
        <w:rPr>
          <w:rFonts w:ascii="Times New Roman" w:eastAsia="Times New Roman" w:hAnsi="Times New Roman" w:cs="Times New Roman"/>
          <w:color w:val="333333"/>
          <w:shd w:val="clear" w:color="auto" w:fill="FFFFFF"/>
          <w:lang w:eastAsia="en-US"/>
        </w:rPr>
        <w:t>.</w:t>
      </w:r>
    </w:p>
    <w:sdt>
      <w:sdtPr>
        <w:rPr>
          <w:rFonts w:asciiTheme="minorHAnsi" w:eastAsiaTheme="minorEastAsia" w:hAnsiTheme="minorHAnsi" w:cstheme="minorBidi"/>
          <w:b w:val="0"/>
          <w:bCs w:val="0"/>
        </w:rPr>
        <w:id w:val="-2005347947"/>
        <w:docPartObj>
          <w:docPartGallery w:val="Bibliographies"/>
          <w:docPartUnique/>
        </w:docPartObj>
      </w:sdtPr>
      <w:sdtEndPr/>
      <w:sdtContent>
        <w:p w14:paraId="178032D7" w14:textId="5C6C5D1B" w:rsidR="00D81AD9" w:rsidRDefault="00D81AD9">
          <w:pPr>
            <w:pStyle w:val="Heading1"/>
          </w:pPr>
          <w:r>
            <w:t>References</w:t>
          </w:r>
        </w:p>
        <w:sdt>
          <w:sdtPr>
            <w:id w:val="-573587230"/>
            <w:bibliography/>
          </w:sdtPr>
          <w:sdtEndPr/>
          <w:sdtContent>
            <w:p w14:paraId="5DF56D21" w14:textId="77777777" w:rsidR="007763E8" w:rsidRDefault="00D81AD9" w:rsidP="007763E8">
              <w:pPr>
                <w:pStyle w:val="Bibliography"/>
                <w:rPr>
                  <w:noProof/>
                </w:rPr>
              </w:pPr>
              <w:r>
                <w:fldChar w:fldCharType="begin"/>
              </w:r>
              <w:r>
                <w:instrText xml:space="preserve"> BIBLIOGRAPHY </w:instrText>
              </w:r>
              <w:r>
                <w:fldChar w:fldCharType="separate"/>
              </w:r>
              <w:r w:rsidR="007763E8">
                <w:rPr>
                  <w:noProof/>
                </w:rPr>
                <w:t xml:space="preserve">Alizada, K. (2012). </w:t>
              </w:r>
              <w:r w:rsidR="007763E8">
                <w:rPr>
                  <w:i/>
                  <w:iCs/>
                  <w:noProof/>
                </w:rPr>
                <w:t>Diffusion of Renewable Energy Policies.</w:t>
              </w:r>
              <w:r w:rsidR="007763E8">
                <w:rPr>
                  <w:noProof/>
                </w:rPr>
                <w:t xml:space="preserve"> Ann Arbor: ProQuest.</w:t>
              </w:r>
            </w:p>
            <w:p w14:paraId="2B686E0C" w14:textId="77777777" w:rsidR="007763E8" w:rsidRDefault="007763E8" w:rsidP="007763E8">
              <w:pPr>
                <w:pStyle w:val="Bibliography"/>
                <w:rPr>
                  <w:noProof/>
                </w:rPr>
              </w:pPr>
              <w:r>
                <w:rPr>
                  <w:noProof/>
                </w:rPr>
                <w:t xml:space="preserve">California ISO. (2018, 03 01). </w:t>
              </w:r>
              <w:r>
                <w:rPr>
                  <w:i/>
                  <w:iCs/>
                  <w:noProof/>
                </w:rPr>
                <w:t>Supply and Renewables</w:t>
              </w:r>
              <w:r>
                <w:rPr>
                  <w:noProof/>
                </w:rPr>
                <w:t>. Retrieved from California Independent Service Operator: http://www.caiso.com/TodaysOutlook/Pages/supply.aspx</w:t>
              </w:r>
            </w:p>
            <w:p w14:paraId="60527AC7" w14:textId="77777777" w:rsidR="007763E8" w:rsidRDefault="007763E8" w:rsidP="007763E8">
              <w:pPr>
                <w:pStyle w:val="Bibliography"/>
                <w:rPr>
                  <w:noProof/>
                </w:rPr>
              </w:pPr>
              <w:r>
                <w:rPr>
                  <w:noProof/>
                </w:rPr>
                <w:t xml:space="preserve">Department of Energy. (2016, February 06). </w:t>
              </w:r>
              <w:r>
                <w:rPr>
                  <w:i/>
                  <w:iCs/>
                  <w:noProof/>
                </w:rPr>
                <w:t>FY 2017 Department of Energy Budget Request Fact Sheet</w:t>
              </w:r>
              <w:r>
                <w:rPr>
                  <w:noProof/>
                </w:rPr>
                <w:t>. Retrieved from ENERGY.GOV: https://www.energy.gov/fy-2017-department-energy-budget-request-fact-sheet</w:t>
              </w:r>
            </w:p>
            <w:p w14:paraId="573D1BE1" w14:textId="77777777" w:rsidR="007763E8" w:rsidRDefault="007763E8" w:rsidP="007763E8">
              <w:pPr>
                <w:pStyle w:val="Bibliography"/>
                <w:rPr>
                  <w:noProof/>
                </w:rPr>
              </w:pPr>
              <w:r>
                <w:rPr>
                  <w:noProof/>
                </w:rPr>
                <w:t xml:space="preserve">Durkay, J. (2017, August 1). </w:t>
              </w:r>
              <w:r>
                <w:rPr>
                  <w:i/>
                  <w:iCs/>
                  <w:noProof/>
                </w:rPr>
                <w:t>State Renewable Portfolio Standards and Goals</w:t>
              </w:r>
              <w:r>
                <w:rPr>
                  <w:noProof/>
                </w:rPr>
                <w:t>. Retrieved from National Conference of State Legislatures: http://www.ncsl.org/research/energy/renewable-portfolio-standards.aspx</w:t>
              </w:r>
            </w:p>
            <w:p w14:paraId="5E635CAE" w14:textId="77777777" w:rsidR="007763E8" w:rsidRDefault="007763E8" w:rsidP="007763E8">
              <w:pPr>
                <w:pStyle w:val="Bibliography"/>
                <w:rPr>
                  <w:noProof/>
                </w:rPr>
              </w:pPr>
              <w:r>
                <w:rPr>
                  <w:noProof/>
                </w:rPr>
                <w:t xml:space="preserve">EPA. (2018, April 24). </w:t>
              </w:r>
              <w:r>
                <w:rPr>
                  <w:i/>
                  <w:iCs/>
                  <w:noProof/>
                </w:rPr>
                <w:t>Sources of Greenhouse Gas Emissions</w:t>
              </w:r>
              <w:r>
                <w:rPr>
                  <w:noProof/>
                </w:rPr>
                <w:t>. Retrieved from Environmental Protection Agency: https://www.epa.gov/ghgemissions/sources-greenhouse-gas-emissions</w:t>
              </w:r>
            </w:p>
            <w:p w14:paraId="24E7662A" w14:textId="77777777" w:rsidR="007763E8" w:rsidRDefault="007763E8" w:rsidP="007763E8">
              <w:pPr>
                <w:pStyle w:val="Bibliography"/>
                <w:rPr>
                  <w:noProof/>
                </w:rPr>
              </w:pPr>
              <w:r>
                <w:rPr>
                  <w:noProof/>
                </w:rPr>
                <w:t xml:space="preserve">FERC. (2018, April 25). </w:t>
              </w:r>
              <w:r>
                <w:rPr>
                  <w:i/>
                  <w:iCs/>
                  <w:noProof/>
                </w:rPr>
                <w:t>Regional Transmission Organizations (RTO)/Independent System Operatiors (ISO)</w:t>
              </w:r>
              <w:r>
                <w:rPr>
                  <w:noProof/>
                </w:rPr>
                <w:t>. Retrieved from Federal Energy Regulator Commision: https://www.ferc.gov/industries/electric/indus-act/rto.asp</w:t>
              </w:r>
            </w:p>
            <w:p w14:paraId="5C4722C3" w14:textId="77777777" w:rsidR="007763E8" w:rsidRDefault="007763E8" w:rsidP="007763E8">
              <w:pPr>
                <w:pStyle w:val="Bibliography"/>
                <w:rPr>
                  <w:noProof/>
                </w:rPr>
              </w:pPr>
              <w:r>
                <w:rPr>
                  <w:noProof/>
                </w:rPr>
                <w:t xml:space="preserve">ISO/RTO COUNCIL. (2018, April 20). </w:t>
              </w:r>
              <w:r>
                <w:rPr>
                  <w:i/>
                  <w:iCs/>
                  <w:noProof/>
                </w:rPr>
                <w:t>The Role of ISOs and RTOs</w:t>
              </w:r>
              <w:r>
                <w:rPr>
                  <w:noProof/>
                </w:rPr>
                <w:t>. Retrieved from IRC ISO/RTO COUNCIL: http://www.isorto.org/about/Role</w:t>
              </w:r>
            </w:p>
            <w:p w14:paraId="300D73F3" w14:textId="77777777" w:rsidR="007763E8" w:rsidRDefault="007763E8" w:rsidP="007763E8">
              <w:pPr>
                <w:pStyle w:val="Bibliography"/>
                <w:rPr>
                  <w:noProof/>
                </w:rPr>
              </w:pPr>
              <w:r>
                <w:rPr>
                  <w:i/>
                  <w:iCs/>
                  <w:noProof/>
                </w:rPr>
                <w:t>New York State Energy Plan.</w:t>
              </w:r>
              <w:r>
                <w:rPr>
                  <w:noProof/>
                </w:rPr>
                <w:t xml:space="preserve"> (2015, 12). Retrieved from New York State: https://energyplan.ny.gov/Plans/2015.aspx</w:t>
              </w:r>
            </w:p>
            <w:p w14:paraId="0F25F457" w14:textId="77777777" w:rsidR="007763E8" w:rsidRDefault="007763E8" w:rsidP="007763E8">
              <w:pPr>
                <w:pStyle w:val="Bibliography"/>
                <w:rPr>
                  <w:noProof/>
                </w:rPr>
              </w:pPr>
              <w:r>
                <w:rPr>
                  <w:noProof/>
                </w:rPr>
                <w:t xml:space="preserve">NYISO. (2018, 03 02). </w:t>
              </w:r>
              <w:r>
                <w:rPr>
                  <w:i/>
                  <w:iCs/>
                  <w:noProof/>
                </w:rPr>
                <w:t>Data Graphs and Fuel Mix Chart</w:t>
              </w:r>
              <w:r>
                <w:rPr>
                  <w:noProof/>
                </w:rPr>
                <w:t>. Retrieved from New York Independent Service Operator: http://www.nyiso.com/public/markets_operations/market_data/graphs/index.jsp?load=pie</w:t>
              </w:r>
            </w:p>
            <w:p w14:paraId="3E1B76E3" w14:textId="77777777" w:rsidR="007763E8" w:rsidRDefault="007763E8" w:rsidP="007763E8">
              <w:pPr>
                <w:pStyle w:val="Bibliography"/>
                <w:rPr>
                  <w:noProof/>
                </w:rPr>
              </w:pPr>
              <w:r>
                <w:rPr>
                  <w:i/>
                  <w:iCs/>
                  <w:noProof/>
                </w:rPr>
                <w:lastRenderedPageBreak/>
                <w:t>Office of Energy Efficiency &amp; Renewable Energy</w:t>
              </w:r>
              <w:r>
                <w:rPr>
                  <w:noProof/>
                </w:rPr>
                <w:t>. (n.d.). Retrieved from Doepartmant of Energy: https://www.energy.gov/eere/wipo/weatherization-and-intergovernmental-program-office-projects-map</w:t>
              </w:r>
            </w:p>
            <w:p w14:paraId="3EACAEAB" w14:textId="77777777" w:rsidR="007763E8" w:rsidRDefault="007763E8" w:rsidP="007763E8">
              <w:pPr>
                <w:pStyle w:val="Bibliography"/>
                <w:rPr>
                  <w:noProof/>
                </w:rPr>
              </w:pPr>
              <w:r>
                <w:rPr>
                  <w:noProof/>
                </w:rPr>
                <w:t xml:space="preserve">Pumpkin TV. (2014). </w:t>
              </w:r>
              <w:r>
                <w:rPr>
                  <w:i/>
                  <w:iCs/>
                  <w:noProof/>
                </w:rPr>
                <w:t>Debating energy futures</w:t>
              </w:r>
              <w:r>
                <w:rPr>
                  <w:noProof/>
                </w:rPr>
                <w:t>. Retrieved from Films On Demand: https://fod.infobase.com/PortalPlaylists.aspx?wID=102578&amp;xtid=86418</w:t>
              </w:r>
            </w:p>
            <w:p w14:paraId="01B5A58D" w14:textId="77777777" w:rsidR="007763E8" w:rsidRDefault="007763E8" w:rsidP="007763E8">
              <w:pPr>
                <w:pStyle w:val="Bibliography"/>
                <w:rPr>
                  <w:noProof/>
                </w:rPr>
              </w:pPr>
              <w:r>
                <w:rPr>
                  <w:noProof/>
                </w:rPr>
                <w:t xml:space="preserve">U.S. Census Bureau. (2017, March 12). </w:t>
              </w:r>
              <w:r>
                <w:rPr>
                  <w:i/>
                  <w:iCs/>
                  <w:noProof/>
                </w:rPr>
                <w:t>United States Population</w:t>
              </w:r>
              <w:r>
                <w:rPr>
                  <w:noProof/>
                </w:rPr>
                <w:t>. Retrieved from Trading Economics: https://tradingeconomics.com/united-states/population</w:t>
              </w:r>
            </w:p>
            <w:p w14:paraId="309CB404" w14:textId="77777777" w:rsidR="007763E8" w:rsidRDefault="007763E8" w:rsidP="007763E8">
              <w:pPr>
                <w:pStyle w:val="Bibliography"/>
                <w:rPr>
                  <w:noProof/>
                </w:rPr>
              </w:pPr>
              <w:r>
                <w:rPr>
                  <w:noProof/>
                </w:rPr>
                <w:t xml:space="preserve">Zhou, E. (2015, 10). </w:t>
              </w:r>
              <w:r>
                <w:rPr>
                  <w:i/>
                  <w:iCs/>
                  <w:noProof/>
                </w:rPr>
                <w:t>U.S. Renewable Energy Policy and Industry.</w:t>
              </w:r>
              <w:r>
                <w:rPr>
                  <w:noProof/>
                </w:rPr>
                <w:t xml:space="preserve"> Retrieved from National Renewable Energy Laboratory: https://www.nrel.gov/docs/fy16osti/65255.pdf</w:t>
              </w:r>
            </w:p>
            <w:p w14:paraId="2C2B2AF0" w14:textId="7912AC63" w:rsidR="00D81AD9" w:rsidRDefault="00D81AD9" w:rsidP="007763E8">
              <w:r>
                <w:rPr>
                  <w:b/>
                  <w:bCs/>
                  <w:noProof/>
                </w:rPr>
                <w:fldChar w:fldCharType="end"/>
              </w:r>
            </w:p>
          </w:sdtContent>
        </w:sdt>
      </w:sdtContent>
    </w:sdt>
    <w:p w14:paraId="0F3409C1" w14:textId="5A66F945" w:rsidR="00D81AD9" w:rsidRDefault="00D81AD9" w:rsidP="00AE5611"/>
    <w:p w14:paraId="3B75A2D5" w14:textId="77777777" w:rsidR="00D81AD9" w:rsidRDefault="00D81AD9" w:rsidP="00AE5611">
      <w:bookmarkStart w:id="0" w:name="_GoBack"/>
      <w:bookmarkEnd w:id="0"/>
    </w:p>
    <w:sectPr w:rsidR="00D81AD9">
      <w:headerReference w:type="default" r:id="rId14"/>
      <w:headerReference w:type="first" r:id="rId15"/>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57D0" w14:textId="77777777" w:rsidR="003B2FE8" w:rsidRDefault="003B2FE8">
      <w:pPr>
        <w:spacing w:line="240" w:lineRule="auto"/>
      </w:pPr>
      <w:r>
        <w:separator/>
      </w:r>
    </w:p>
    <w:p w14:paraId="3B08A379" w14:textId="77777777" w:rsidR="003B2FE8" w:rsidRDefault="003B2FE8"/>
  </w:endnote>
  <w:endnote w:type="continuationSeparator" w:id="0">
    <w:p w14:paraId="67267E43" w14:textId="77777777" w:rsidR="003B2FE8" w:rsidRDefault="003B2FE8">
      <w:pPr>
        <w:spacing w:line="240" w:lineRule="auto"/>
      </w:pPr>
      <w:r>
        <w:continuationSeparator/>
      </w:r>
    </w:p>
    <w:p w14:paraId="4AC6ADED" w14:textId="77777777" w:rsidR="003B2FE8" w:rsidRDefault="003B2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5F15" w14:textId="77777777" w:rsidR="003B2FE8" w:rsidRDefault="003B2FE8">
      <w:pPr>
        <w:spacing w:line="240" w:lineRule="auto"/>
      </w:pPr>
      <w:r>
        <w:separator/>
      </w:r>
    </w:p>
    <w:p w14:paraId="004D7DE7" w14:textId="77777777" w:rsidR="003B2FE8" w:rsidRDefault="003B2FE8"/>
  </w:footnote>
  <w:footnote w:type="continuationSeparator" w:id="0">
    <w:p w14:paraId="34C359C4" w14:textId="77777777" w:rsidR="003B2FE8" w:rsidRDefault="003B2FE8">
      <w:pPr>
        <w:spacing w:line="240" w:lineRule="auto"/>
      </w:pPr>
      <w:r>
        <w:continuationSeparator/>
      </w:r>
    </w:p>
    <w:p w14:paraId="455779F6" w14:textId="77777777" w:rsidR="003B2FE8" w:rsidRDefault="003B2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594D16" w14:paraId="39ED0BC7" w14:textId="77777777">
      <w:tc>
        <w:tcPr>
          <w:tcW w:w="8280" w:type="dxa"/>
        </w:tcPr>
        <w:p w14:paraId="05BF0DCF" w14:textId="779A7974" w:rsidR="00594D16" w:rsidRPr="00170521" w:rsidRDefault="003B2FE8" w:rsidP="00170521">
          <w:pPr>
            <w:pStyle w:val="Header"/>
          </w:pPr>
          <w:sdt>
            <w:sdtPr>
              <w:alias w:val="Enter shortened title:"/>
              <w:tag w:val="Enter shortened title:"/>
              <w:id w:val="1019734365"/>
            </w:sdtPr>
            <w:sdtEndPr/>
            <w:sdtContent>
              <w:r w:rsidR="00B77E62">
                <w:t>THE FUTURE OF GREEN ENERGY IN NEW YORK STATE</w:t>
              </w:r>
            </w:sdtContent>
          </w:sdt>
        </w:p>
      </w:tc>
      <w:tc>
        <w:tcPr>
          <w:tcW w:w="1080" w:type="dxa"/>
        </w:tcPr>
        <w:p w14:paraId="0D817187" w14:textId="2C09E130" w:rsidR="00594D16" w:rsidRDefault="00594D16">
          <w:pPr>
            <w:pStyle w:val="Header"/>
            <w:jc w:val="right"/>
          </w:pPr>
          <w:r>
            <w:fldChar w:fldCharType="begin"/>
          </w:r>
          <w:r>
            <w:instrText xml:space="preserve"> PAGE   \* MERGEFORMAT </w:instrText>
          </w:r>
          <w:r>
            <w:fldChar w:fldCharType="separate"/>
          </w:r>
          <w:r w:rsidR="0019296A">
            <w:rPr>
              <w:noProof/>
            </w:rPr>
            <w:t>2</w:t>
          </w:r>
          <w:r>
            <w:rPr>
              <w:noProof/>
            </w:rPr>
            <w:fldChar w:fldCharType="end"/>
          </w:r>
        </w:p>
      </w:tc>
    </w:tr>
  </w:tbl>
  <w:p w14:paraId="55E9B2EC" w14:textId="77777777" w:rsidR="00594D16" w:rsidRDefault="00594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594D16" w14:paraId="1E8B3D5F" w14:textId="77777777">
      <w:tc>
        <w:tcPr>
          <w:tcW w:w="8280" w:type="dxa"/>
        </w:tcPr>
        <w:p w14:paraId="729D0932" w14:textId="455BEF17" w:rsidR="00594D16" w:rsidRPr="009F0414" w:rsidRDefault="00594D16" w:rsidP="00B77E62">
          <w:pPr>
            <w:pStyle w:val="Header"/>
          </w:pPr>
          <w:r>
            <w:t xml:space="preserve">Running Head: </w:t>
          </w:r>
          <w:sdt>
            <w:sdtPr>
              <w:alias w:val="Enter shortened title:"/>
              <w:tag w:val="Enter shortened title:"/>
              <w:id w:val="-211583021"/>
            </w:sdtPr>
            <w:sdtEndPr/>
            <w:sdtContent>
              <w:r w:rsidR="00B77E62">
                <w:t>THE FUTURE OF GREEN ENERGY IN NEW YORK STATE</w:t>
              </w:r>
            </w:sdtContent>
          </w:sdt>
        </w:p>
      </w:tc>
      <w:tc>
        <w:tcPr>
          <w:tcW w:w="1080" w:type="dxa"/>
        </w:tcPr>
        <w:p w14:paraId="0D76B85B" w14:textId="4C4F0451" w:rsidR="00594D16" w:rsidRDefault="00594D16">
          <w:pPr>
            <w:pStyle w:val="Header"/>
            <w:jc w:val="right"/>
          </w:pPr>
          <w:r>
            <w:fldChar w:fldCharType="begin"/>
          </w:r>
          <w:r>
            <w:instrText xml:space="preserve"> PAGE   \* MERGEFORMAT </w:instrText>
          </w:r>
          <w:r>
            <w:fldChar w:fldCharType="separate"/>
          </w:r>
          <w:r w:rsidR="0019296A">
            <w:rPr>
              <w:noProof/>
            </w:rPr>
            <w:t>1</w:t>
          </w:r>
          <w:r>
            <w:rPr>
              <w:noProof/>
            </w:rPr>
            <w:fldChar w:fldCharType="end"/>
          </w:r>
        </w:p>
      </w:tc>
    </w:tr>
  </w:tbl>
  <w:p w14:paraId="5EBE35D5" w14:textId="77777777" w:rsidR="00594D16" w:rsidRDefault="00594D1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D400E"/>
    <w:multiLevelType w:val="multilevel"/>
    <w:tmpl w:val="21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C395A"/>
    <w:multiLevelType w:val="multilevel"/>
    <w:tmpl w:val="14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65905"/>
    <w:multiLevelType w:val="multilevel"/>
    <w:tmpl w:val="C91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D526E"/>
    <w:multiLevelType w:val="multilevel"/>
    <w:tmpl w:val="284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B0D08"/>
    <w:multiLevelType w:val="hybridMultilevel"/>
    <w:tmpl w:val="4450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913"/>
    <w:multiLevelType w:val="hybridMultilevel"/>
    <w:tmpl w:val="22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B4CA1"/>
    <w:multiLevelType w:val="hybridMultilevel"/>
    <w:tmpl w:val="FB8CE3A6"/>
    <w:lvl w:ilvl="0" w:tplc="F59AAC3A">
      <w:start w:val="1"/>
      <w:numFmt w:val="bullet"/>
      <w:lvlText w:val=""/>
      <w:lvlJc w:val="left"/>
      <w:pPr>
        <w:tabs>
          <w:tab w:val="num" w:pos="720"/>
        </w:tabs>
        <w:ind w:left="720" w:hanging="360"/>
      </w:pPr>
      <w:rPr>
        <w:rFonts w:ascii="Wingdings 2" w:hAnsi="Wingdings 2" w:hint="default"/>
      </w:rPr>
    </w:lvl>
    <w:lvl w:ilvl="1" w:tplc="C900BAF4" w:tentative="1">
      <w:start w:val="1"/>
      <w:numFmt w:val="bullet"/>
      <w:lvlText w:val=""/>
      <w:lvlJc w:val="left"/>
      <w:pPr>
        <w:tabs>
          <w:tab w:val="num" w:pos="1440"/>
        </w:tabs>
        <w:ind w:left="1440" w:hanging="360"/>
      </w:pPr>
      <w:rPr>
        <w:rFonts w:ascii="Wingdings 2" w:hAnsi="Wingdings 2" w:hint="default"/>
      </w:rPr>
    </w:lvl>
    <w:lvl w:ilvl="2" w:tplc="D48A37FC" w:tentative="1">
      <w:start w:val="1"/>
      <w:numFmt w:val="bullet"/>
      <w:lvlText w:val=""/>
      <w:lvlJc w:val="left"/>
      <w:pPr>
        <w:tabs>
          <w:tab w:val="num" w:pos="2160"/>
        </w:tabs>
        <w:ind w:left="2160" w:hanging="360"/>
      </w:pPr>
      <w:rPr>
        <w:rFonts w:ascii="Wingdings 2" w:hAnsi="Wingdings 2" w:hint="default"/>
      </w:rPr>
    </w:lvl>
    <w:lvl w:ilvl="3" w:tplc="3D4C0740" w:tentative="1">
      <w:start w:val="1"/>
      <w:numFmt w:val="bullet"/>
      <w:lvlText w:val=""/>
      <w:lvlJc w:val="left"/>
      <w:pPr>
        <w:tabs>
          <w:tab w:val="num" w:pos="2880"/>
        </w:tabs>
        <w:ind w:left="2880" w:hanging="360"/>
      </w:pPr>
      <w:rPr>
        <w:rFonts w:ascii="Wingdings 2" w:hAnsi="Wingdings 2" w:hint="default"/>
      </w:rPr>
    </w:lvl>
    <w:lvl w:ilvl="4" w:tplc="5B764186" w:tentative="1">
      <w:start w:val="1"/>
      <w:numFmt w:val="bullet"/>
      <w:lvlText w:val=""/>
      <w:lvlJc w:val="left"/>
      <w:pPr>
        <w:tabs>
          <w:tab w:val="num" w:pos="3600"/>
        </w:tabs>
        <w:ind w:left="3600" w:hanging="360"/>
      </w:pPr>
      <w:rPr>
        <w:rFonts w:ascii="Wingdings 2" w:hAnsi="Wingdings 2" w:hint="default"/>
      </w:rPr>
    </w:lvl>
    <w:lvl w:ilvl="5" w:tplc="1B562B48" w:tentative="1">
      <w:start w:val="1"/>
      <w:numFmt w:val="bullet"/>
      <w:lvlText w:val=""/>
      <w:lvlJc w:val="left"/>
      <w:pPr>
        <w:tabs>
          <w:tab w:val="num" w:pos="4320"/>
        </w:tabs>
        <w:ind w:left="4320" w:hanging="360"/>
      </w:pPr>
      <w:rPr>
        <w:rFonts w:ascii="Wingdings 2" w:hAnsi="Wingdings 2" w:hint="default"/>
      </w:rPr>
    </w:lvl>
    <w:lvl w:ilvl="6" w:tplc="D9DC56C4" w:tentative="1">
      <w:start w:val="1"/>
      <w:numFmt w:val="bullet"/>
      <w:lvlText w:val=""/>
      <w:lvlJc w:val="left"/>
      <w:pPr>
        <w:tabs>
          <w:tab w:val="num" w:pos="5040"/>
        </w:tabs>
        <w:ind w:left="5040" w:hanging="360"/>
      </w:pPr>
      <w:rPr>
        <w:rFonts w:ascii="Wingdings 2" w:hAnsi="Wingdings 2" w:hint="default"/>
      </w:rPr>
    </w:lvl>
    <w:lvl w:ilvl="7" w:tplc="3620B85A" w:tentative="1">
      <w:start w:val="1"/>
      <w:numFmt w:val="bullet"/>
      <w:lvlText w:val=""/>
      <w:lvlJc w:val="left"/>
      <w:pPr>
        <w:tabs>
          <w:tab w:val="num" w:pos="5760"/>
        </w:tabs>
        <w:ind w:left="5760" w:hanging="360"/>
      </w:pPr>
      <w:rPr>
        <w:rFonts w:ascii="Wingdings 2" w:hAnsi="Wingdings 2" w:hint="default"/>
      </w:rPr>
    </w:lvl>
    <w:lvl w:ilvl="8" w:tplc="D338A2F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3605FD6"/>
    <w:multiLevelType w:val="multilevel"/>
    <w:tmpl w:val="9D9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94AE2"/>
    <w:multiLevelType w:val="multilevel"/>
    <w:tmpl w:val="065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00663"/>
    <w:multiLevelType w:val="multilevel"/>
    <w:tmpl w:val="87146CC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0" w15:restartNumberingAfterBreak="0">
    <w:nsid w:val="42894EC9"/>
    <w:multiLevelType w:val="multilevel"/>
    <w:tmpl w:val="9AC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34553"/>
    <w:multiLevelType w:val="multilevel"/>
    <w:tmpl w:val="8CC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61275"/>
    <w:multiLevelType w:val="hybridMultilevel"/>
    <w:tmpl w:val="6C3803C2"/>
    <w:lvl w:ilvl="0" w:tplc="7F52C950">
      <w:start w:val="1"/>
      <w:numFmt w:val="bullet"/>
      <w:lvlText w:val=""/>
      <w:lvlJc w:val="left"/>
      <w:pPr>
        <w:tabs>
          <w:tab w:val="num" w:pos="720"/>
        </w:tabs>
        <w:ind w:left="720" w:hanging="360"/>
      </w:pPr>
      <w:rPr>
        <w:rFonts w:ascii="Wingdings 2" w:hAnsi="Wingdings 2" w:hint="default"/>
      </w:rPr>
    </w:lvl>
    <w:lvl w:ilvl="1" w:tplc="AD80769E" w:tentative="1">
      <w:start w:val="1"/>
      <w:numFmt w:val="bullet"/>
      <w:lvlText w:val=""/>
      <w:lvlJc w:val="left"/>
      <w:pPr>
        <w:tabs>
          <w:tab w:val="num" w:pos="1440"/>
        </w:tabs>
        <w:ind w:left="1440" w:hanging="360"/>
      </w:pPr>
      <w:rPr>
        <w:rFonts w:ascii="Wingdings 2" w:hAnsi="Wingdings 2" w:hint="default"/>
      </w:rPr>
    </w:lvl>
    <w:lvl w:ilvl="2" w:tplc="E670FD68" w:tentative="1">
      <w:start w:val="1"/>
      <w:numFmt w:val="bullet"/>
      <w:lvlText w:val=""/>
      <w:lvlJc w:val="left"/>
      <w:pPr>
        <w:tabs>
          <w:tab w:val="num" w:pos="2160"/>
        </w:tabs>
        <w:ind w:left="2160" w:hanging="360"/>
      </w:pPr>
      <w:rPr>
        <w:rFonts w:ascii="Wingdings 2" w:hAnsi="Wingdings 2" w:hint="default"/>
      </w:rPr>
    </w:lvl>
    <w:lvl w:ilvl="3" w:tplc="10D61D60" w:tentative="1">
      <w:start w:val="1"/>
      <w:numFmt w:val="bullet"/>
      <w:lvlText w:val=""/>
      <w:lvlJc w:val="left"/>
      <w:pPr>
        <w:tabs>
          <w:tab w:val="num" w:pos="2880"/>
        </w:tabs>
        <w:ind w:left="2880" w:hanging="360"/>
      </w:pPr>
      <w:rPr>
        <w:rFonts w:ascii="Wingdings 2" w:hAnsi="Wingdings 2" w:hint="default"/>
      </w:rPr>
    </w:lvl>
    <w:lvl w:ilvl="4" w:tplc="5D5630CE" w:tentative="1">
      <w:start w:val="1"/>
      <w:numFmt w:val="bullet"/>
      <w:lvlText w:val=""/>
      <w:lvlJc w:val="left"/>
      <w:pPr>
        <w:tabs>
          <w:tab w:val="num" w:pos="3600"/>
        </w:tabs>
        <w:ind w:left="3600" w:hanging="360"/>
      </w:pPr>
      <w:rPr>
        <w:rFonts w:ascii="Wingdings 2" w:hAnsi="Wingdings 2" w:hint="default"/>
      </w:rPr>
    </w:lvl>
    <w:lvl w:ilvl="5" w:tplc="DA1E35B0" w:tentative="1">
      <w:start w:val="1"/>
      <w:numFmt w:val="bullet"/>
      <w:lvlText w:val=""/>
      <w:lvlJc w:val="left"/>
      <w:pPr>
        <w:tabs>
          <w:tab w:val="num" w:pos="4320"/>
        </w:tabs>
        <w:ind w:left="4320" w:hanging="360"/>
      </w:pPr>
      <w:rPr>
        <w:rFonts w:ascii="Wingdings 2" w:hAnsi="Wingdings 2" w:hint="default"/>
      </w:rPr>
    </w:lvl>
    <w:lvl w:ilvl="6" w:tplc="F8D83CA0" w:tentative="1">
      <w:start w:val="1"/>
      <w:numFmt w:val="bullet"/>
      <w:lvlText w:val=""/>
      <w:lvlJc w:val="left"/>
      <w:pPr>
        <w:tabs>
          <w:tab w:val="num" w:pos="5040"/>
        </w:tabs>
        <w:ind w:left="5040" w:hanging="360"/>
      </w:pPr>
      <w:rPr>
        <w:rFonts w:ascii="Wingdings 2" w:hAnsi="Wingdings 2" w:hint="default"/>
      </w:rPr>
    </w:lvl>
    <w:lvl w:ilvl="7" w:tplc="3508FD08" w:tentative="1">
      <w:start w:val="1"/>
      <w:numFmt w:val="bullet"/>
      <w:lvlText w:val=""/>
      <w:lvlJc w:val="left"/>
      <w:pPr>
        <w:tabs>
          <w:tab w:val="num" w:pos="5760"/>
        </w:tabs>
        <w:ind w:left="5760" w:hanging="360"/>
      </w:pPr>
      <w:rPr>
        <w:rFonts w:ascii="Wingdings 2" w:hAnsi="Wingdings 2" w:hint="default"/>
      </w:rPr>
    </w:lvl>
    <w:lvl w:ilvl="8" w:tplc="C7A0C35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4A4247"/>
    <w:multiLevelType w:val="multilevel"/>
    <w:tmpl w:val="D7B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D7566"/>
    <w:multiLevelType w:val="multilevel"/>
    <w:tmpl w:val="585643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0C5834"/>
    <w:multiLevelType w:val="multilevel"/>
    <w:tmpl w:val="26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03A3D"/>
    <w:multiLevelType w:val="hybridMultilevel"/>
    <w:tmpl w:val="FD10E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0A23B6"/>
    <w:multiLevelType w:val="hybridMultilevel"/>
    <w:tmpl w:val="4B1028D0"/>
    <w:lvl w:ilvl="0" w:tplc="FB56DD3C">
      <w:start w:val="1"/>
      <w:numFmt w:val="bullet"/>
      <w:lvlText w:val=""/>
      <w:lvlJc w:val="left"/>
      <w:pPr>
        <w:tabs>
          <w:tab w:val="num" w:pos="720"/>
        </w:tabs>
        <w:ind w:left="720" w:hanging="360"/>
      </w:pPr>
      <w:rPr>
        <w:rFonts w:ascii="Wingdings 2" w:hAnsi="Wingdings 2" w:hint="default"/>
      </w:rPr>
    </w:lvl>
    <w:lvl w:ilvl="1" w:tplc="07E8C5FA" w:tentative="1">
      <w:start w:val="1"/>
      <w:numFmt w:val="bullet"/>
      <w:lvlText w:val=""/>
      <w:lvlJc w:val="left"/>
      <w:pPr>
        <w:tabs>
          <w:tab w:val="num" w:pos="1440"/>
        </w:tabs>
        <w:ind w:left="1440" w:hanging="360"/>
      </w:pPr>
      <w:rPr>
        <w:rFonts w:ascii="Wingdings 2" w:hAnsi="Wingdings 2" w:hint="default"/>
      </w:rPr>
    </w:lvl>
    <w:lvl w:ilvl="2" w:tplc="8C94A4AE" w:tentative="1">
      <w:start w:val="1"/>
      <w:numFmt w:val="bullet"/>
      <w:lvlText w:val=""/>
      <w:lvlJc w:val="left"/>
      <w:pPr>
        <w:tabs>
          <w:tab w:val="num" w:pos="2160"/>
        </w:tabs>
        <w:ind w:left="2160" w:hanging="360"/>
      </w:pPr>
      <w:rPr>
        <w:rFonts w:ascii="Wingdings 2" w:hAnsi="Wingdings 2" w:hint="default"/>
      </w:rPr>
    </w:lvl>
    <w:lvl w:ilvl="3" w:tplc="0F1C27EA" w:tentative="1">
      <w:start w:val="1"/>
      <w:numFmt w:val="bullet"/>
      <w:lvlText w:val=""/>
      <w:lvlJc w:val="left"/>
      <w:pPr>
        <w:tabs>
          <w:tab w:val="num" w:pos="2880"/>
        </w:tabs>
        <w:ind w:left="2880" w:hanging="360"/>
      </w:pPr>
      <w:rPr>
        <w:rFonts w:ascii="Wingdings 2" w:hAnsi="Wingdings 2" w:hint="default"/>
      </w:rPr>
    </w:lvl>
    <w:lvl w:ilvl="4" w:tplc="AD26FC06" w:tentative="1">
      <w:start w:val="1"/>
      <w:numFmt w:val="bullet"/>
      <w:lvlText w:val=""/>
      <w:lvlJc w:val="left"/>
      <w:pPr>
        <w:tabs>
          <w:tab w:val="num" w:pos="3600"/>
        </w:tabs>
        <w:ind w:left="3600" w:hanging="360"/>
      </w:pPr>
      <w:rPr>
        <w:rFonts w:ascii="Wingdings 2" w:hAnsi="Wingdings 2" w:hint="default"/>
      </w:rPr>
    </w:lvl>
    <w:lvl w:ilvl="5" w:tplc="F9B2C510" w:tentative="1">
      <w:start w:val="1"/>
      <w:numFmt w:val="bullet"/>
      <w:lvlText w:val=""/>
      <w:lvlJc w:val="left"/>
      <w:pPr>
        <w:tabs>
          <w:tab w:val="num" w:pos="4320"/>
        </w:tabs>
        <w:ind w:left="4320" w:hanging="360"/>
      </w:pPr>
      <w:rPr>
        <w:rFonts w:ascii="Wingdings 2" w:hAnsi="Wingdings 2" w:hint="default"/>
      </w:rPr>
    </w:lvl>
    <w:lvl w:ilvl="6" w:tplc="9AC2AB2A" w:tentative="1">
      <w:start w:val="1"/>
      <w:numFmt w:val="bullet"/>
      <w:lvlText w:val=""/>
      <w:lvlJc w:val="left"/>
      <w:pPr>
        <w:tabs>
          <w:tab w:val="num" w:pos="5040"/>
        </w:tabs>
        <w:ind w:left="5040" w:hanging="360"/>
      </w:pPr>
      <w:rPr>
        <w:rFonts w:ascii="Wingdings 2" w:hAnsi="Wingdings 2" w:hint="default"/>
      </w:rPr>
    </w:lvl>
    <w:lvl w:ilvl="7" w:tplc="F3AA6D68" w:tentative="1">
      <w:start w:val="1"/>
      <w:numFmt w:val="bullet"/>
      <w:lvlText w:val=""/>
      <w:lvlJc w:val="left"/>
      <w:pPr>
        <w:tabs>
          <w:tab w:val="num" w:pos="5760"/>
        </w:tabs>
        <w:ind w:left="5760" w:hanging="360"/>
      </w:pPr>
      <w:rPr>
        <w:rFonts w:ascii="Wingdings 2" w:hAnsi="Wingdings 2" w:hint="default"/>
      </w:rPr>
    </w:lvl>
    <w:lvl w:ilvl="8" w:tplc="AA8AD97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0AD7DB8"/>
    <w:multiLevelType w:val="multilevel"/>
    <w:tmpl w:val="8B7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23"/>
  </w:num>
  <w:num w:numId="14">
    <w:abstractNumId w:val="17"/>
  </w:num>
  <w:num w:numId="15">
    <w:abstractNumId w:val="16"/>
  </w:num>
  <w:num w:numId="16">
    <w:abstractNumId w:val="22"/>
  </w:num>
  <w:num w:numId="17">
    <w:abstractNumId w:val="27"/>
  </w:num>
  <w:num w:numId="18">
    <w:abstractNumId w:val="14"/>
  </w:num>
  <w:num w:numId="19">
    <w:abstractNumId w:val="25"/>
  </w:num>
  <w:num w:numId="20">
    <w:abstractNumId w:val="20"/>
  </w:num>
  <w:num w:numId="21">
    <w:abstractNumId w:val="21"/>
  </w:num>
  <w:num w:numId="22">
    <w:abstractNumId w:val="10"/>
  </w:num>
  <w:num w:numId="23">
    <w:abstractNumId w:val="24"/>
  </w:num>
  <w:num w:numId="24">
    <w:abstractNumId w:val="15"/>
  </w:num>
  <w:num w:numId="25">
    <w:abstractNumId w:val="18"/>
  </w:num>
  <w:num w:numId="26">
    <w:abstractNumId w:val="12"/>
  </w:num>
  <w:num w:numId="27">
    <w:abstractNumId w:val="28"/>
  </w:num>
  <w:num w:numId="28">
    <w:abstractNumId w:val="1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60"/>
    <w:rsid w:val="00006BBA"/>
    <w:rsid w:val="0001010E"/>
    <w:rsid w:val="000126D5"/>
    <w:rsid w:val="000217F5"/>
    <w:rsid w:val="00030CDE"/>
    <w:rsid w:val="00031774"/>
    <w:rsid w:val="000368CB"/>
    <w:rsid w:val="00043BC9"/>
    <w:rsid w:val="00065FA4"/>
    <w:rsid w:val="000725F8"/>
    <w:rsid w:val="00074019"/>
    <w:rsid w:val="000811CF"/>
    <w:rsid w:val="00086076"/>
    <w:rsid w:val="0008721E"/>
    <w:rsid w:val="000925B8"/>
    <w:rsid w:val="00097169"/>
    <w:rsid w:val="000B2FB0"/>
    <w:rsid w:val="000D0D9B"/>
    <w:rsid w:val="000E0115"/>
    <w:rsid w:val="000E163A"/>
    <w:rsid w:val="000E3319"/>
    <w:rsid w:val="00114BFA"/>
    <w:rsid w:val="001210BA"/>
    <w:rsid w:val="00136287"/>
    <w:rsid w:val="00140213"/>
    <w:rsid w:val="00147A08"/>
    <w:rsid w:val="001602E3"/>
    <w:rsid w:val="00160C0C"/>
    <w:rsid w:val="001664A2"/>
    <w:rsid w:val="00170521"/>
    <w:rsid w:val="00174EA7"/>
    <w:rsid w:val="0019296A"/>
    <w:rsid w:val="001B09BB"/>
    <w:rsid w:val="001B4848"/>
    <w:rsid w:val="001C403C"/>
    <w:rsid w:val="001D122A"/>
    <w:rsid w:val="001F447A"/>
    <w:rsid w:val="001F7399"/>
    <w:rsid w:val="001F7B14"/>
    <w:rsid w:val="00212319"/>
    <w:rsid w:val="00216D13"/>
    <w:rsid w:val="00222583"/>
    <w:rsid w:val="00225BE3"/>
    <w:rsid w:val="00234C95"/>
    <w:rsid w:val="00244AEC"/>
    <w:rsid w:val="00254788"/>
    <w:rsid w:val="00255115"/>
    <w:rsid w:val="00265A86"/>
    <w:rsid w:val="00274E0A"/>
    <w:rsid w:val="0027663D"/>
    <w:rsid w:val="0029056F"/>
    <w:rsid w:val="002A7623"/>
    <w:rsid w:val="002B1126"/>
    <w:rsid w:val="002B6153"/>
    <w:rsid w:val="002B6E9E"/>
    <w:rsid w:val="002C627C"/>
    <w:rsid w:val="002F4C1E"/>
    <w:rsid w:val="002F59C0"/>
    <w:rsid w:val="00301BA3"/>
    <w:rsid w:val="00307586"/>
    <w:rsid w:val="003144A5"/>
    <w:rsid w:val="003175E4"/>
    <w:rsid w:val="00324D59"/>
    <w:rsid w:val="003319B0"/>
    <w:rsid w:val="00335BB8"/>
    <w:rsid w:val="00336906"/>
    <w:rsid w:val="003378BF"/>
    <w:rsid w:val="00345333"/>
    <w:rsid w:val="00352336"/>
    <w:rsid w:val="00353DBF"/>
    <w:rsid w:val="00355377"/>
    <w:rsid w:val="003602B7"/>
    <w:rsid w:val="00360897"/>
    <w:rsid w:val="00370DD7"/>
    <w:rsid w:val="0038503B"/>
    <w:rsid w:val="00391D80"/>
    <w:rsid w:val="003A06C6"/>
    <w:rsid w:val="003A5273"/>
    <w:rsid w:val="003B2FE8"/>
    <w:rsid w:val="003C4377"/>
    <w:rsid w:val="003D4733"/>
    <w:rsid w:val="003E36B1"/>
    <w:rsid w:val="003E4162"/>
    <w:rsid w:val="003E68A4"/>
    <w:rsid w:val="003F7CBD"/>
    <w:rsid w:val="00405DEE"/>
    <w:rsid w:val="00406344"/>
    <w:rsid w:val="004102FB"/>
    <w:rsid w:val="00411CBC"/>
    <w:rsid w:val="004277D8"/>
    <w:rsid w:val="00452B12"/>
    <w:rsid w:val="0046020C"/>
    <w:rsid w:val="00481CF8"/>
    <w:rsid w:val="00492C2D"/>
    <w:rsid w:val="004A3D87"/>
    <w:rsid w:val="004B18A9"/>
    <w:rsid w:val="004C04F7"/>
    <w:rsid w:val="004C0BDD"/>
    <w:rsid w:val="004D4E9C"/>
    <w:rsid w:val="004D4F8C"/>
    <w:rsid w:val="004D6B86"/>
    <w:rsid w:val="004E65BD"/>
    <w:rsid w:val="004F77E3"/>
    <w:rsid w:val="00504F88"/>
    <w:rsid w:val="005111FF"/>
    <w:rsid w:val="005129A3"/>
    <w:rsid w:val="00536FF1"/>
    <w:rsid w:val="00540FFF"/>
    <w:rsid w:val="0055242C"/>
    <w:rsid w:val="0055792A"/>
    <w:rsid w:val="005641D9"/>
    <w:rsid w:val="0057311E"/>
    <w:rsid w:val="0059008C"/>
    <w:rsid w:val="00593D58"/>
    <w:rsid w:val="00594D16"/>
    <w:rsid w:val="00595412"/>
    <w:rsid w:val="005B519E"/>
    <w:rsid w:val="005C393C"/>
    <w:rsid w:val="005C42C0"/>
    <w:rsid w:val="005E1779"/>
    <w:rsid w:val="005E2610"/>
    <w:rsid w:val="005E3488"/>
    <w:rsid w:val="005E3533"/>
    <w:rsid w:val="005E3D0F"/>
    <w:rsid w:val="005F0E97"/>
    <w:rsid w:val="00602270"/>
    <w:rsid w:val="0061747E"/>
    <w:rsid w:val="00641876"/>
    <w:rsid w:val="00645290"/>
    <w:rsid w:val="00650C21"/>
    <w:rsid w:val="0067346B"/>
    <w:rsid w:val="00683FCD"/>
    <w:rsid w:val="00686216"/>
    <w:rsid w:val="006B015B"/>
    <w:rsid w:val="006B66C8"/>
    <w:rsid w:val="006C162F"/>
    <w:rsid w:val="006C37B2"/>
    <w:rsid w:val="006D0AE4"/>
    <w:rsid w:val="006D4514"/>
    <w:rsid w:val="006D7EE9"/>
    <w:rsid w:val="006E2AF8"/>
    <w:rsid w:val="006F182D"/>
    <w:rsid w:val="00701DAC"/>
    <w:rsid w:val="00702AE2"/>
    <w:rsid w:val="0071291A"/>
    <w:rsid w:val="00716A44"/>
    <w:rsid w:val="007244DE"/>
    <w:rsid w:val="007337A4"/>
    <w:rsid w:val="007359E8"/>
    <w:rsid w:val="007763E8"/>
    <w:rsid w:val="00794695"/>
    <w:rsid w:val="0079637B"/>
    <w:rsid w:val="007A15C9"/>
    <w:rsid w:val="007A6EC8"/>
    <w:rsid w:val="007C3AEE"/>
    <w:rsid w:val="007D1C3F"/>
    <w:rsid w:val="007D3754"/>
    <w:rsid w:val="007E099C"/>
    <w:rsid w:val="007E0CC1"/>
    <w:rsid w:val="007E5D46"/>
    <w:rsid w:val="007F5327"/>
    <w:rsid w:val="00803DD2"/>
    <w:rsid w:val="00806DBF"/>
    <w:rsid w:val="0081390C"/>
    <w:rsid w:val="00814D38"/>
    <w:rsid w:val="00816831"/>
    <w:rsid w:val="00824353"/>
    <w:rsid w:val="00837D67"/>
    <w:rsid w:val="00843343"/>
    <w:rsid w:val="008504D5"/>
    <w:rsid w:val="00856D72"/>
    <w:rsid w:val="00873EC2"/>
    <w:rsid w:val="008747E8"/>
    <w:rsid w:val="00886F5C"/>
    <w:rsid w:val="0089454A"/>
    <w:rsid w:val="00896DA2"/>
    <w:rsid w:val="008A2A83"/>
    <w:rsid w:val="008A6B9E"/>
    <w:rsid w:val="008D30A6"/>
    <w:rsid w:val="008E11E9"/>
    <w:rsid w:val="008E516F"/>
    <w:rsid w:val="008F7A16"/>
    <w:rsid w:val="00910F0E"/>
    <w:rsid w:val="0093320C"/>
    <w:rsid w:val="00942060"/>
    <w:rsid w:val="0094249F"/>
    <w:rsid w:val="00951A16"/>
    <w:rsid w:val="00955EF8"/>
    <w:rsid w:val="00961AE5"/>
    <w:rsid w:val="00967B6D"/>
    <w:rsid w:val="009704FA"/>
    <w:rsid w:val="009818B9"/>
    <w:rsid w:val="009A2C38"/>
    <w:rsid w:val="009A711C"/>
    <w:rsid w:val="009F0414"/>
    <w:rsid w:val="009F133A"/>
    <w:rsid w:val="00A40C46"/>
    <w:rsid w:val="00A4757D"/>
    <w:rsid w:val="00A64BF3"/>
    <w:rsid w:val="00A77F6B"/>
    <w:rsid w:val="00A81BB2"/>
    <w:rsid w:val="00A850DD"/>
    <w:rsid w:val="00A864BC"/>
    <w:rsid w:val="00A87121"/>
    <w:rsid w:val="00AA0425"/>
    <w:rsid w:val="00AA2493"/>
    <w:rsid w:val="00AA2CB3"/>
    <w:rsid w:val="00AA5C05"/>
    <w:rsid w:val="00AD0FE1"/>
    <w:rsid w:val="00AD5B77"/>
    <w:rsid w:val="00AE5611"/>
    <w:rsid w:val="00AF00FC"/>
    <w:rsid w:val="00AF054A"/>
    <w:rsid w:val="00AF0D7A"/>
    <w:rsid w:val="00B12604"/>
    <w:rsid w:val="00B1658F"/>
    <w:rsid w:val="00B325DA"/>
    <w:rsid w:val="00B46FEF"/>
    <w:rsid w:val="00B51825"/>
    <w:rsid w:val="00B74B87"/>
    <w:rsid w:val="00B77E62"/>
    <w:rsid w:val="00B91F16"/>
    <w:rsid w:val="00B94B63"/>
    <w:rsid w:val="00BE7FAA"/>
    <w:rsid w:val="00BF16DC"/>
    <w:rsid w:val="00BF1E34"/>
    <w:rsid w:val="00BF3923"/>
    <w:rsid w:val="00C07B1B"/>
    <w:rsid w:val="00C119C5"/>
    <w:rsid w:val="00C11A14"/>
    <w:rsid w:val="00C17951"/>
    <w:rsid w:val="00C22B29"/>
    <w:rsid w:val="00C24B90"/>
    <w:rsid w:val="00C26778"/>
    <w:rsid w:val="00C27C97"/>
    <w:rsid w:val="00C30112"/>
    <w:rsid w:val="00C3438C"/>
    <w:rsid w:val="00C5686B"/>
    <w:rsid w:val="00C61693"/>
    <w:rsid w:val="00C74024"/>
    <w:rsid w:val="00C83B15"/>
    <w:rsid w:val="00C84AE4"/>
    <w:rsid w:val="00C8645C"/>
    <w:rsid w:val="00C91438"/>
    <w:rsid w:val="00C925C8"/>
    <w:rsid w:val="00CA0E8B"/>
    <w:rsid w:val="00CB7F84"/>
    <w:rsid w:val="00CC1E57"/>
    <w:rsid w:val="00CC4DD2"/>
    <w:rsid w:val="00CD1E6D"/>
    <w:rsid w:val="00CD1EA4"/>
    <w:rsid w:val="00CF1B55"/>
    <w:rsid w:val="00CF3B54"/>
    <w:rsid w:val="00D13D4C"/>
    <w:rsid w:val="00D26464"/>
    <w:rsid w:val="00D3515E"/>
    <w:rsid w:val="00D573BE"/>
    <w:rsid w:val="00D57887"/>
    <w:rsid w:val="00D57EE3"/>
    <w:rsid w:val="00D81AD9"/>
    <w:rsid w:val="00D83C64"/>
    <w:rsid w:val="00DB08C5"/>
    <w:rsid w:val="00DB2E59"/>
    <w:rsid w:val="00DB358F"/>
    <w:rsid w:val="00DB6564"/>
    <w:rsid w:val="00DC44F1"/>
    <w:rsid w:val="00DE2102"/>
    <w:rsid w:val="00DF6BB2"/>
    <w:rsid w:val="00DF6D26"/>
    <w:rsid w:val="00E119C5"/>
    <w:rsid w:val="00E16A78"/>
    <w:rsid w:val="00E319D3"/>
    <w:rsid w:val="00E37C87"/>
    <w:rsid w:val="00E40938"/>
    <w:rsid w:val="00E45D60"/>
    <w:rsid w:val="00E47E47"/>
    <w:rsid w:val="00E7305D"/>
    <w:rsid w:val="00E82FC5"/>
    <w:rsid w:val="00EA780C"/>
    <w:rsid w:val="00EB0272"/>
    <w:rsid w:val="00EB69D3"/>
    <w:rsid w:val="00EE466D"/>
    <w:rsid w:val="00F042E9"/>
    <w:rsid w:val="00F2083A"/>
    <w:rsid w:val="00F2517A"/>
    <w:rsid w:val="00F277A0"/>
    <w:rsid w:val="00F31D66"/>
    <w:rsid w:val="00F3522D"/>
    <w:rsid w:val="00F363EC"/>
    <w:rsid w:val="00F413AC"/>
    <w:rsid w:val="00F63A2A"/>
    <w:rsid w:val="00F65750"/>
    <w:rsid w:val="00F6593E"/>
    <w:rsid w:val="00F92C8F"/>
    <w:rsid w:val="00F9417A"/>
    <w:rsid w:val="00F94395"/>
    <w:rsid w:val="00FB660E"/>
    <w:rsid w:val="00FB7C1D"/>
    <w:rsid w:val="00FC21CB"/>
    <w:rsid w:val="00FE725C"/>
    <w:rsid w:val="00FF0458"/>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86563"/>
  <w15:docId w15:val="{B09363A1-6132-45D5-B190-A1514A17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character" w:customStyle="1" w:styleId="Heading3Char">
    <w:name w:val="Heading 3 Char"/>
    <w:basedOn w:val="DefaultParagraphFont"/>
    <w:link w:val="Heading3"/>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nhideWhenUsed/>
    <w:pPr>
      <w:spacing w:after="120"/>
      <w:ind w:firstLine="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14D38"/>
    <w:rPr>
      <w:color w:val="0000FF"/>
      <w:u w:val="single"/>
    </w:rPr>
  </w:style>
  <w:style w:type="character" w:styleId="FollowedHyperlink">
    <w:name w:val="FollowedHyperlink"/>
    <w:basedOn w:val="DefaultParagraphFont"/>
    <w:unhideWhenUsed/>
    <w:rsid w:val="00814D38"/>
    <w:rPr>
      <w:color w:val="6C6C6C" w:themeColor="followedHyperlink"/>
      <w:u w:val="single"/>
    </w:rPr>
  </w:style>
  <w:style w:type="character" w:customStyle="1" w:styleId="citation">
    <w:name w:val="citation"/>
    <w:basedOn w:val="DefaultParagraphFont"/>
    <w:rsid w:val="00D13D4C"/>
    <w:rPr>
      <w:vanish w:val="0"/>
      <w:webHidden w:val="0"/>
      <w:specVanish w:val="0"/>
    </w:rPr>
  </w:style>
  <w:style w:type="character" w:customStyle="1" w:styleId="ital-inline2">
    <w:name w:val="ital-inline2"/>
    <w:basedOn w:val="DefaultParagraphFont"/>
    <w:rsid w:val="00D13D4C"/>
    <w:rPr>
      <w:rFonts w:ascii="Georgia" w:hAnsi="Georgia" w:hint="default"/>
      <w:i/>
      <w:iCs/>
      <w:vanish w:val="0"/>
      <w:webHidden w:val="0"/>
      <w:specVanish w:val="0"/>
    </w:rPr>
  </w:style>
  <w:style w:type="paragraph" w:customStyle="1" w:styleId="Default">
    <w:name w:val="Default"/>
    <w:rsid w:val="00D13D4C"/>
    <w:pPr>
      <w:autoSpaceDE w:val="0"/>
      <w:autoSpaceDN w:val="0"/>
      <w:adjustRightInd w:val="0"/>
      <w:spacing w:line="240" w:lineRule="auto"/>
      <w:ind w:firstLine="0"/>
    </w:pPr>
    <w:rPr>
      <w:rFonts w:ascii="Arial" w:eastAsia="Calibri" w:hAnsi="Arial" w:cs="Arial"/>
      <w:color w:val="000000"/>
      <w:lang w:eastAsia="en-US"/>
    </w:rPr>
  </w:style>
  <w:style w:type="character" w:styleId="Strong">
    <w:name w:val="Strong"/>
    <w:basedOn w:val="DefaultParagraphFont"/>
    <w:uiPriority w:val="22"/>
    <w:qFormat/>
    <w:rsid w:val="00D13D4C"/>
    <w:rPr>
      <w:b/>
      <w:bCs/>
    </w:rPr>
  </w:style>
  <w:style w:type="paragraph" w:customStyle="1" w:styleId="APAHeader">
    <w:name w:val="APA Header"/>
    <w:basedOn w:val="Normal"/>
    <w:next w:val="Normal"/>
    <w:rsid w:val="00D13D4C"/>
    <w:pPr>
      <w:overflowPunct w:val="0"/>
      <w:autoSpaceDE w:val="0"/>
      <w:autoSpaceDN w:val="0"/>
      <w:adjustRightInd w:val="0"/>
      <w:ind w:firstLine="0"/>
      <w:jc w:val="center"/>
      <w:textAlignment w:val="baseline"/>
    </w:pPr>
    <w:rPr>
      <w:rFonts w:ascii="Times New Roman" w:eastAsia="Times New Roman" w:hAnsi="Times New Roman" w:cs="Times New Roman"/>
      <w:color w:val="auto"/>
      <w:szCs w:val="20"/>
      <w:lang w:eastAsia="en-US"/>
    </w:rPr>
  </w:style>
  <w:style w:type="paragraph" w:customStyle="1" w:styleId="APAReference">
    <w:name w:val="APA Reference"/>
    <w:basedOn w:val="Normal"/>
    <w:rsid w:val="00D13D4C"/>
    <w:pPr>
      <w:overflowPunct w:val="0"/>
      <w:autoSpaceDE w:val="0"/>
      <w:autoSpaceDN w:val="0"/>
      <w:adjustRightInd w:val="0"/>
      <w:ind w:left="720" w:hanging="720"/>
      <w:textAlignment w:val="baseline"/>
    </w:pPr>
    <w:rPr>
      <w:rFonts w:ascii="Times New Roman" w:eastAsia="Times New Roman" w:hAnsi="Times New Roman" w:cs="Times New Roman"/>
      <w:color w:val="auto"/>
      <w:szCs w:val="20"/>
      <w:lang w:eastAsia="en-US"/>
    </w:rPr>
  </w:style>
  <w:style w:type="character" w:customStyle="1" w:styleId="given-name">
    <w:name w:val="given-name"/>
    <w:basedOn w:val="DefaultParagraphFont"/>
    <w:rsid w:val="00D13D4C"/>
  </w:style>
  <w:style w:type="character" w:customStyle="1" w:styleId="additional-name">
    <w:name w:val="additional-name"/>
    <w:basedOn w:val="DefaultParagraphFont"/>
    <w:rsid w:val="00D13D4C"/>
  </w:style>
  <w:style w:type="character" w:customStyle="1" w:styleId="family-name">
    <w:name w:val="family-name"/>
    <w:basedOn w:val="DefaultParagraphFont"/>
    <w:rsid w:val="00D13D4C"/>
  </w:style>
  <w:style w:type="character" w:customStyle="1" w:styleId="UnresolvedMention1">
    <w:name w:val="Unresolved Mention1"/>
    <w:basedOn w:val="DefaultParagraphFont"/>
    <w:uiPriority w:val="99"/>
    <w:semiHidden/>
    <w:unhideWhenUsed/>
    <w:rsid w:val="0038503B"/>
    <w:rPr>
      <w:color w:val="808080"/>
      <w:shd w:val="clear" w:color="auto" w:fill="E6E6E6"/>
    </w:rPr>
  </w:style>
  <w:style w:type="character" w:customStyle="1" w:styleId="apple-converted-space">
    <w:name w:val="apple-converted-space"/>
    <w:basedOn w:val="DefaultParagraphFont"/>
    <w:rsid w:val="0019296A"/>
  </w:style>
  <w:style w:type="character" w:customStyle="1" w:styleId="st">
    <w:name w:val="st"/>
    <w:basedOn w:val="DefaultParagraphFont"/>
    <w:rsid w:val="0019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00">
      <w:bodyDiv w:val="1"/>
      <w:marLeft w:val="0"/>
      <w:marRight w:val="0"/>
      <w:marTop w:val="0"/>
      <w:marBottom w:val="0"/>
      <w:divBdr>
        <w:top w:val="none" w:sz="0" w:space="0" w:color="auto"/>
        <w:left w:val="none" w:sz="0" w:space="0" w:color="auto"/>
        <w:bottom w:val="none" w:sz="0" w:space="0" w:color="auto"/>
        <w:right w:val="none" w:sz="0" w:space="0" w:color="auto"/>
      </w:divBdr>
    </w:div>
    <w:div w:id="12046094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5459521">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36887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0912307">
      <w:bodyDiv w:val="1"/>
      <w:marLeft w:val="0"/>
      <w:marRight w:val="0"/>
      <w:marTop w:val="0"/>
      <w:marBottom w:val="0"/>
      <w:divBdr>
        <w:top w:val="none" w:sz="0" w:space="0" w:color="auto"/>
        <w:left w:val="none" w:sz="0" w:space="0" w:color="auto"/>
        <w:bottom w:val="none" w:sz="0" w:space="0" w:color="auto"/>
        <w:right w:val="none" w:sz="0" w:space="0" w:color="auto"/>
      </w:divBdr>
    </w:div>
    <w:div w:id="35724522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8864184">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22812345">
      <w:bodyDiv w:val="1"/>
      <w:marLeft w:val="0"/>
      <w:marRight w:val="0"/>
      <w:marTop w:val="0"/>
      <w:marBottom w:val="0"/>
      <w:divBdr>
        <w:top w:val="none" w:sz="0" w:space="0" w:color="auto"/>
        <w:left w:val="none" w:sz="0" w:space="0" w:color="auto"/>
        <w:bottom w:val="none" w:sz="0" w:space="0" w:color="auto"/>
        <w:right w:val="none" w:sz="0" w:space="0" w:color="auto"/>
      </w:divBdr>
    </w:div>
    <w:div w:id="643700133">
      <w:bodyDiv w:val="1"/>
      <w:marLeft w:val="0"/>
      <w:marRight w:val="0"/>
      <w:marTop w:val="0"/>
      <w:marBottom w:val="0"/>
      <w:divBdr>
        <w:top w:val="none" w:sz="0" w:space="0" w:color="auto"/>
        <w:left w:val="none" w:sz="0" w:space="0" w:color="auto"/>
        <w:bottom w:val="none" w:sz="0" w:space="0" w:color="auto"/>
        <w:right w:val="none" w:sz="0" w:space="0" w:color="auto"/>
      </w:divBdr>
    </w:div>
    <w:div w:id="65248692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3301695">
      <w:bodyDiv w:val="1"/>
      <w:marLeft w:val="0"/>
      <w:marRight w:val="0"/>
      <w:marTop w:val="0"/>
      <w:marBottom w:val="0"/>
      <w:divBdr>
        <w:top w:val="none" w:sz="0" w:space="0" w:color="auto"/>
        <w:left w:val="none" w:sz="0" w:space="0" w:color="auto"/>
        <w:bottom w:val="none" w:sz="0" w:space="0" w:color="auto"/>
        <w:right w:val="none" w:sz="0" w:space="0" w:color="auto"/>
      </w:divBdr>
    </w:div>
    <w:div w:id="932979412">
      <w:bodyDiv w:val="1"/>
      <w:marLeft w:val="0"/>
      <w:marRight w:val="0"/>
      <w:marTop w:val="0"/>
      <w:marBottom w:val="0"/>
      <w:divBdr>
        <w:top w:val="none" w:sz="0" w:space="0" w:color="auto"/>
        <w:left w:val="none" w:sz="0" w:space="0" w:color="auto"/>
        <w:bottom w:val="none" w:sz="0" w:space="0" w:color="auto"/>
        <w:right w:val="none" w:sz="0" w:space="0" w:color="auto"/>
      </w:divBdr>
    </w:div>
    <w:div w:id="943155155">
      <w:bodyDiv w:val="1"/>
      <w:marLeft w:val="0"/>
      <w:marRight w:val="0"/>
      <w:marTop w:val="0"/>
      <w:marBottom w:val="0"/>
      <w:divBdr>
        <w:top w:val="none" w:sz="0" w:space="0" w:color="auto"/>
        <w:left w:val="none" w:sz="0" w:space="0" w:color="auto"/>
        <w:bottom w:val="none" w:sz="0" w:space="0" w:color="auto"/>
        <w:right w:val="none" w:sz="0" w:space="0" w:color="auto"/>
      </w:divBdr>
    </w:div>
    <w:div w:id="970013409">
      <w:bodyDiv w:val="1"/>
      <w:marLeft w:val="0"/>
      <w:marRight w:val="0"/>
      <w:marTop w:val="0"/>
      <w:marBottom w:val="0"/>
      <w:divBdr>
        <w:top w:val="none" w:sz="0" w:space="0" w:color="auto"/>
        <w:left w:val="none" w:sz="0" w:space="0" w:color="auto"/>
        <w:bottom w:val="none" w:sz="0" w:space="0" w:color="auto"/>
        <w:right w:val="none" w:sz="0" w:space="0" w:color="auto"/>
      </w:divBdr>
    </w:div>
    <w:div w:id="98600951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8257540">
      <w:bodyDiv w:val="1"/>
      <w:marLeft w:val="0"/>
      <w:marRight w:val="0"/>
      <w:marTop w:val="0"/>
      <w:marBottom w:val="0"/>
      <w:divBdr>
        <w:top w:val="none" w:sz="0" w:space="0" w:color="auto"/>
        <w:left w:val="none" w:sz="0" w:space="0" w:color="auto"/>
        <w:bottom w:val="none" w:sz="0" w:space="0" w:color="auto"/>
        <w:right w:val="none" w:sz="0" w:space="0" w:color="auto"/>
      </w:divBdr>
    </w:div>
    <w:div w:id="1071737613">
      <w:bodyDiv w:val="1"/>
      <w:marLeft w:val="0"/>
      <w:marRight w:val="0"/>
      <w:marTop w:val="0"/>
      <w:marBottom w:val="0"/>
      <w:divBdr>
        <w:top w:val="none" w:sz="0" w:space="0" w:color="auto"/>
        <w:left w:val="none" w:sz="0" w:space="0" w:color="auto"/>
        <w:bottom w:val="none" w:sz="0" w:space="0" w:color="auto"/>
        <w:right w:val="none" w:sz="0" w:space="0" w:color="auto"/>
      </w:divBdr>
    </w:div>
    <w:div w:id="1166046108">
      <w:bodyDiv w:val="1"/>
      <w:marLeft w:val="0"/>
      <w:marRight w:val="0"/>
      <w:marTop w:val="0"/>
      <w:marBottom w:val="0"/>
      <w:divBdr>
        <w:top w:val="none" w:sz="0" w:space="0" w:color="auto"/>
        <w:left w:val="none" w:sz="0" w:space="0" w:color="auto"/>
        <w:bottom w:val="none" w:sz="0" w:space="0" w:color="auto"/>
        <w:right w:val="none" w:sz="0" w:space="0" w:color="auto"/>
      </w:divBdr>
    </w:div>
    <w:div w:id="117480094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463077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107518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6989107">
      <w:bodyDiv w:val="1"/>
      <w:marLeft w:val="0"/>
      <w:marRight w:val="0"/>
      <w:marTop w:val="0"/>
      <w:marBottom w:val="0"/>
      <w:divBdr>
        <w:top w:val="none" w:sz="0" w:space="0" w:color="auto"/>
        <w:left w:val="none" w:sz="0" w:space="0" w:color="auto"/>
        <w:bottom w:val="none" w:sz="0" w:space="0" w:color="auto"/>
        <w:right w:val="none" w:sz="0" w:space="0" w:color="auto"/>
      </w:divBdr>
    </w:div>
    <w:div w:id="150320300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995361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4219895">
      <w:bodyDiv w:val="1"/>
      <w:marLeft w:val="0"/>
      <w:marRight w:val="0"/>
      <w:marTop w:val="0"/>
      <w:marBottom w:val="0"/>
      <w:divBdr>
        <w:top w:val="none" w:sz="0" w:space="0" w:color="auto"/>
        <w:left w:val="none" w:sz="0" w:space="0" w:color="auto"/>
        <w:bottom w:val="none" w:sz="0" w:space="0" w:color="auto"/>
        <w:right w:val="none" w:sz="0" w:space="0" w:color="auto"/>
      </w:divBdr>
    </w:div>
    <w:div w:id="1607536820">
      <w:bodyDiv w:val="1"/>
      <w:marLeft w:val="0"/>
      <w:marRight w:val="0"/>
      <w:marTop w:val="0"/>
      <w:marBottom w:val="0"/>
      <w:divBdr>
        <w:top w:val="none" w:sz="0" w:space="0" w:color="auto"/>
        <w:left w:val="none" w:sz="0" w:space="0" w:color="auto"/>
        <w:bottom w:val="none" w:sz="0" w:space="0" w:color="auto"/>
        <w:right w:val="none" w:sz="0" w:space="0" w:color="auto"/>
      </w:divBdr>
    </w:div>
    <w:div w:id="1675104167">
      <w:bodyDiv w:val="1"/>
      <w:marLeft w:val="0"/>
      <w:marRight w:val="0"/>
      <w:marTop w:val="0"/>
      <w:marBottom w:val="0"/>
      <w:divBdr>
        <w:top w:val="none" w:sz="0" w:space="0" w:color="auto"/>
        <w:left w:val="none" w:sz="0" w:space="0" w:color="auto"/>
        <w:bottom w:val="none" w:sz="0" w:space="0" w:color="auto"/>
        <w:right w:val="none" w:sz="0" w:space="0" w:color="auto"/>
      </w:divBdr>
    </w:div>
    <w:div w:id="1680305636">
      <w:bodyDiv w:val="1"/>
      <w:marLeft w:val="0"/>
      <w:marRight w:val="0"/>
      <w:marTop w:val="0"/>
      <w:marBottom w:val="0"/>
      <w:divBdr>
        <w:top w:val="none" w:sz="0" w:space="0" w:color="auto"/>
        <w:left w:val="none" w:sz="0" w:space="0" w:color="auto"/>
        <w:bottom w:val="none" w:sz="0" w:space="0" w:color="auto"/>
        <w:right w:val="none" w:sz="0" w:space="0" w:color="auto"/>
      </w:divBdr>
    </w:div>
    <w:div w:id="1741827697">
      <w:bodyDiv w:val="1"/>
      <w:marLeft w:val="0"/>
      <w:marRight w:val="0"/>
      <w:marTop w:val="0"/>
      <w:marBottom w:val="0"/>
      <w:divBdr>
        <w:top w:val="none" w:sz="0" w:space="0" w:color="auto"/>
        <w:left w:val="none" w:sz="0" w:space="0" w:color="auto"/>
        <w:bottom w:val="none" w:sz="0" w:space="0" w:color="auto"/>
        <w:right w:val="none" w:sz="0" w:space="0" w:color="auto"/>
      </w:divBdr>
    </w:div>
    <w:div w:id="174826726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35823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384876">
      <w:bodyDiv w:val="1"/>
      <w:marLeft w:val="0"/>
      <w:marRight w:val="0"/>
      <w:marTop w:val="0"/>
      <w:marBottom w:val="0"/>
      <w:divBdr>
        <w:top w:val="none" w:sz="0" w:space="0" w:color="auto"/>
        <w:left w:val="none" w:sz="0" w:space="0" w:color="auto"/>
        <w:bottom w:val="none" w:sz="0" w:space="0" w:color="auto"/>
        <w:right w:val="none" w:sz="0" w:space="0" w:color="auto"/>
      </w:divBdr>
    </w:div>
    <w:div w:id="1877235742">
      <w:bodyDiv w:val="1"/>
      <w:marLeft w:val="0"/>
      <w:marRight w:val="0"/>
      <w:marTop w:val="0"/>
      <w:marBottom w:val="0"/>
      <w:divBdr>
        <w:top w:val="none" w:sz="0" w:space="0" w:color="auto"/>
        <w:left w:val="none" w:sz="0" w:space="0" w:color="auto"/>
        <w:bottom w:val="none" w:sz="0" w:space="0" w:color="auto"/>
        <w:right w:val="none" w:sz="0" w:space="0" w:color="auto"/>
      </w:divBdr>
    </w:div>
    <w:div w:id="1878663112">
      <w:bodyDiv w:val="1"/>
      <w:marLeft w:val="0"/>
      <w:marRight w:val="0"/>
      <w:marTop w:val="0"/>
      <w:marBottom w:val="0"/>
      <w:divBdr>
        <w:top w:val="none" w:sz="0" w:space="0" w:color="auto"/>
        <w:left w:val="none" w:sz="0" w:space="0" w:color="auto"/>
        <w:bottom w:val="none" w:sz="0" w:space="0" w:color="auto"/>
        <w:right w:val="none" w:sz="0" w:space="0" w:color="auto"/>
      </w:divBdr>
    </w:div>
    <w:div w:id="188562935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26464967">
      <w:bodyDiv w:val="1"/>
      <w:marLeft w:val="0"/>
      <w:marRight w:val="0"/>
      <w:marTop w:val="0"/>
      <w:marBottom w:val="0"/>
      <w:divBdr>
        <w:top w:val="none" w:sz="0" w:space="0" w:color="auto"/>
        <w:left w:val="none" w:sz="0" w:space="0" w:color="auto"/>
        <w:bottom w:val="none" w:sz="0" w:space="0" w:color="auto"/>
        <w:right w:val="none" w:sz="0" w:space="0" w:color="auto"/>
      </w:divBdr>
    </w:div>
    <w:div w:id="2139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z%20Windowz\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w:rsidRDefault="007337A4"&gt;&lt;w:r&gt;&lt;w:t&gt;A&lt;/w:t&gt;&lt;/w:r&gt;&lt;w:r w:rsidR="00DE2102"&gt;&lt;w:t&gt;UTOBIOGRAPHY&lt;/w:t&gt;&lt;/w:r&gt;&lt;/w:p&gt;&lt;w:sectPr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New15</b:Tag>
    <b:SourceType>DocumentFromInternetSite</b:SourceType>
    <b:Guid>{DC2AF902-16A2-4F51-AAF7-6ACF117FDA40}</b:Guid>
    <b:Title>New York State Energy Plan</b:Title>
    <b:Year>2015</b:Year>
    <b:InternetSiteTitle>New York State</b:InternetSiteTitle>
    <b:Month>12</b:Month>
    <b:URL>https://energyplan.ny.gov/Plans/2015.aspx</b:URL>
    <b:RefOrder>5</b:RefOrder>
  </b:Source>
  <b:Source>
    <b:Tag>Offnd</b:Tag>
    <b:SourceType>InternetSite</b:SourceType>
    <b:Guid>{08C8EB31-E684-47F4-A510-06902A2D1016}</b:Guid>
    <b:Title>Office of Energy Efficiency &amp; Renewable Energy</b:Title>
    <b:InternetSiteTitle>Doepartmant of Energy</b:InternetSiteTitle>
    <b:Year>n.d.</b:Year>
    <b:URL>https://www.energy.gov/eere/wipo/weatherization-and-intergovernmental-program-office-projects-map</b:URL>
    <b:RefOrder>6</b:RefOrder>
  </b:Source>
  <b:Source>
    <b:Tag>Dur17</b:Tag>
    <b:SourceType>InternetSite</b:SourceType>
    <b:Guid>{10F20BCF-F244-4DC7-930D-5764CAB8BB03}</b:Guid>
    <b:Title>State Renewable Portfolio Standards and Goals</b:Title>
    <b:Year>2017</b:Year>
    <b:Author>
      <b:Author>
        <b:NameList>
          <b:Person>
            <b:Last>Durkay</b:Last>
            <b:First>Jocelyn</b:First>
          </b:Person>
        </b:NameList>
      </b:Author>
    </b:Author>
    <b:InternetSiteTitle>National Conference of State Legislatures</b:InternetSiteTitle>
    <b:Month>August</b:Month>
    <b:Day>1</b:Day>
    <b:URL>http://www.ncsl.org/research/energy/renewable-portfolio-standards.aspx</b:URL>
    <b:RefOrder>4</b:RefOrder>
  </b:Source>
  <b:Source>
    <b:Tag>Pum14</b:Tag>
    <b:SourceType>InternetSite</b:SourceType>
    <b:Guid>{6DEEB7B5-939A-484B-8AF2-DC7FA4562488}</b:Guid>
    <b:Title>Debating energy futures</b:Title>
    <b:InternetSiteTitle>Films On Demand</b:InternetSiteTitle>
    <b:Year>2014</b:Year>
    <b:URL>https://fod.infobase.com/PortalPlaylists.aspx?wID=102578&amp;xtid=86418</b:URL>
    <b:Author>
      <b:Author>
        <b:Corporate>Pumpkin TV</b:Corporate>
      </b:Author>
    </b:Author>
    <b:RefOrder>7</b:RefOrder>
  </b:Source>
  <b:Source>
    <b:Tag>NYI18</b:Tag>
    <b:SourceType>InternetSite</b:SourceType>
    <b:Guid>{AA3BF6F1-D7D4-4894-9BF4-292CCA839D85}</b:Guid>
    <b:Author>
      <b:Author>
        <b:Corporate>NYISO</b:Corporate>
      </b:Author>
    </b:Author>
    <b:Title>Data Graphs and Fuel Mix Chart</b:Title>
    <b:InternetSiteTitle>New York Independent Service Operator</b:InternetSiteTitle>
    <b:Year>2018</b:Year>
    <b:Month>03</b:Month>
    <b:Day>02</b:Day>
    <b:URL>http://www.nyiso.com/public/markets_operations/market_data/graphs/index.jsp?load=pie</b:URL>
    <b:RefOrder>2</b:RefOrder>
  </b:Source>
  <b:Source>
    <b:Tag>Cal18</b:Tag>
    <b:SourceType>InternetSite</b:SourceType>
    <b:Guid>{300C609A-FCFD-4566-8938-F1F6B73ACB41}</b:Guid>
    <b:Author>
      <b:Author>
        <b:Corporate>California ISO</b:Corporate>
      </b:Author>
    </b:Author>
    <b:Title>Supply and Renewables</b:Title>
    <b:InternetSiteTitle>California Independent Service Operator</b:InternetSiteTitle>
    <b:Year>2018</b:Year>
    <b:Month>03</b:Month>
    <b:Day>01</b:Day>
    <b:URL>http://www.caiso.com/TodaysOutlook/Pages/supply.aspx</b:URL>
    <b:RefOrder>8</b:RefOrder>
  </b:Source>
  <b:Source>
    <b:Tag>Ali12</b:Tag>
    <b:SourceType>Report</b:SourceType>
    <b:Guid>{43C78EF6-D0C6-4592-8276-914612CC0BA6}</b:Guid>
    <b:Title>Diffusion of Renewable Energy Policies</b:Title>
    <b:Year>2012</b:Year>
    <b:Author>
      <b:Author>
        <b:NameList>
          <b:Person>
            <b:Last>Alizada</b:Last>
            <b:First>Khatera</b:First>
          </b:Person>
        </b:NameList>
      </b:Author>
    </b:Author>
    <b:Publisher>ProQuest</b:Publisher>
    <b:City>Ann Arbor</b:City>
    <b:RefOrder>9</b:RefOrder>
  </b:Source>
  <b:Source>
    <b:Tag>Zho15</b:Tag>
    <b:SourceType>DocumentFromInternetSite</b:SourceType>
    <b:Guid>{266C8B90-7519-4FD9-BB1A-AB444DEE361D}</b:Guid>
    <b:Title>U.S. Renewable Energy Policy and Industry</b:Title>
    <b:Year>2015</b:Year>
    <b:Author>
      <b:Author>
        <b:NameList>
          <b:Person>
            <b:Last>Zhou</b:Last>
            <b:First>Ella</b:First>
          </b:Person>
        </b:NameList>
      </b:Author>
    </b:Author>
    <b:InternetSiteTitle>National Renewable Energy Laboratory</b:InternetSiteTitle>
    <b:Month>10</b:Month>
    <b:URL>https://www.nrel.gov/docs/fy16osti/65255.pdf</b:URL>
    <b:RefOrder>10</b:RefOrder>
  </b:Source>
  <b:Source>
    <b:Tag>Dep17</b:Tag>
    <b:SourceType>InternetSite</b:SourceType>
    <b:Guid>{CE205746-A91E-4DCD-A709-DA6B721F4E58}</b:Guid>
    <b:Title>FY 2017 Department of Energy Budget Request Fact Sheet</b:Title>
    <b:Year>2016</b:Year>
    <b:Author>
      <b:Author>
        <b:Corporate>Department of Energy</b:Corporate>
      </b:Author>
    </b:Author>
    <b:InternetSiteTitle>ENERGY.GOV</b:InternetSiteTitle>
    <b:URL>https://www.energy.gov/fy-2017-department-energy-budget-request-fact-sheet</b:URL>
    <b:Month>February</b:Month>
    <b:Day>06</b:Day>
    <b:RefOrder>11</b:RefOrder>
  </b:Source>
  <b:Source>
    <b:Tag>USC17</b:Tag>
    <b:SourceType>InternetSite</b:SourceType>
    <b:Guid>{A96BFE37-9D62-4916-9A34-5F68F16CF7C5}</b:Guid>
    <b:Author>
      <b:Author>
        <b:Corporate>U.S. Census Bureau</b:Corporate>
      </b:Author>
    </b:Author>
    <b:Title>United States Population</b:Title>
    <b:InternetSiteTitle>Trading Economics</b:InternetSiteTitle>
    <b:Year>2017</b:Year>
    <b:Month>March</b:Month>
    <b:Day>12</b:Day>
    <b:URL>https://tradingeconomics.com/united-states/population</b:URL>
    <b:RefOrder>12</b:RefOrder>
  </b:Source>
  <b:Source>
    <b:Tag>FER18</b:Tag>
    <b:SourceType>InternetSite</b:SourceType>
    <b:Guid>{EE470691-4087-4AF6-877A-BED194440173}</b:Guid>
    <b:Author>
      <b:Author>
        <b:Corporate>FERC</b:Corporate>
      </b:Author>
    </b:Author>
    <b:Title>Regional Transmission Organizations (RTO)/Independent System Operatiors (ISO)</b:Title>
    <b:InternetSiteTitle>Federal Energy Regulator Commision</b:InternetSiteTitle>
    <b:Year>2018</b:Year>
    <b:Month>April</b:Month>
    <b:Day>25</b:Day>
    <b:URL>https://www.ferc.gov/industries/electric/indus-act/rto.asp</b:URL>
    <b:RefOrder>13</b:RefOrder>
  </b:Source>
  <b:Source>
    <b:Tag>ISO18</b:Tag>
    <b:SourceType>InternetSite</b:SourceType>
    <b:Guid>{FF78E473-6A16-418A-B1C7-B699AFCD167A}</b:Guid>
    <b:Author>
      <b:Author>
        <b:Corporate>ISO/RTO COUNCIL</b:Corporate>
      </b:Author>
    </b:Author>
    <b:Title>The Role of ISOs and RTOs</b:Title>
    <b:InternetSiteTitle>IRC ISO/RTO COUNCIL</b:InternetSiteTitle>
    <b:Year>2018</b:Year>
    <b:Month>April</b:Month>
    <b:Day>20</b:Day>
    <b:URL>http://www.isorto.org/about/Role</b:URL>
    <b:RefOrder>3</b:RefOrder>
  </b:Source>
  <b:Source>
    <b:Tag>EPA18</b:Tag>
    <b:SourceType>InternetSite</b:SourceType>
    <b:Guid>{6028C1CF-E7CE-4C37-92F8-55E1BF421185}</b:Guid>
    <b:Author>
      <b:Author>
        <b:Corporate>EPA</b:Corporate>
      </b:Author>
    </b:Author>
    <b:Title>Sources of Greenhouse Gas Emissions</b:Title>
    <b:InternetSiteTitle>Environmental Protection Agency</b:InternetSiteTitle>
    <b:Year>2018</b:Year>
    <b:Month>April</b:Month>
    <b:Day>24</b:Day>
    <b:URL>https://www.epa.gov/ghgemissions/sources-greenhouse-gas-emissions</b:URL>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3B3CA20-5CB5-4BA3-9ED7-EA56EB35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12</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Nickz Windowz</dc:creator>
  <cp:keywords/>
  <dc:description/>
  <cp:lastModifiedBy>Nickz Windowz</cp:lastModifiedBy>
  <cp:revision>2</cp:revision>
  <cp:lastPrinted>2018-01-27T03:59:00Z</cp:lastPrinted>
  <dcterms:created xsi:type="dcterms:W3CDTF">2018-05-02T10:26:00Z</dcterms:created>
  <dcterms:modified xsi:type="dcterms:W3CDTF">2018-05-02T10:26:00Z</dcterms:modified>
</cp:coreProperties>
</file>